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Arial"/>
          <w:b/>
          <w:sz w:val="24"/>
          <w:lang w:eastAsia="zh-CN"/>
        </w:rPr>
      </w:pPr>
      <w:r>
        <w:rPr>
          <w:rFonts w:hint="eastAsia" w:ascii="宋体" w:hAnsi="宋体"/>
          <w:b/>
          <w:sz w:val="30"/>
          <w:szCs w:val="30"/>
          <w:lang w:eastAsia="zh-CN"/>
        </w:rPr>
        <w:t>超高压针形阀</w:t>
      </w:r>
    </w:p>
    <w:p>
      <w:pPr>
        <w:spacing w:line="360" w:lineRule="auto"/>
        <w:rPr>
          <w:rFonts w:hint="default" w:ascii="宋体" w:hAnsi="宋体"/>
          <w:b/>
          <w:sz w:val="30"/>
          <w:szCs w:val="30"/>
          <w:lang w:val="en-US" w:eastAsia="zh-CN"/>
        </w:rPr>
      </w:pPr>
      <w:r>
        <w:rPr>
          <w:rFonts w:hint="eastAsia" w:ascii="宋体" w:hAnsi="宋体"/>
          <w:b/>
          <w:sz w:val="30"/>
          <w:szCs w:val="30"/>
          <w:lang w:val="en-US" w:eastAsia="zh-CN"/>
        </w:rPr>
        <w:t>FDS027R1-22S2</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 范围 </w:t>
      </w:r>
    </w:p>
    <w:p>
      <w:pPr>
        <w:keepNext w:val="0"/>
        <w:keepLines w:val="0"/>
        <w:widowControl/>
        <w:suppressLineNumbers w:val="0"/>
        <w:ind w:firstLine="630" w:firstLineChars="3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本标准规定了超高压针形阀的基本要求、结构型式和参数、技术要求、试验方法和检验规则、标志、供货要求及质量保证。 </w:t>
      </w:r>
    </w:p>
    <w:p>
      <w:pPr>
        <w:keepNext w:val="0"/>
        <w:keepLines w:val="0"/>
        <w:widowControl/>
        <w:suppressLineNumbers w:val="0"/>
        <w:ind w:firstLine="630" w:firstLineChars="3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本标准适用于压力15000PSI～30000PSI(103.4～206.8MPa)，Tube 管外径1/4～9/16</w:t>
      </w: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，介质温度为-54°C～</w:t>
      </w:r>
      <w:r>
        <w:rPr>
          <w:rFonts w:hint="eastAsia" w:ascii="宋体" w:hAnsi="宋体" w:cs="宋体"/>
          <w:color w:val="000000"/>
          <w:kern w:val="0"/>
          <w:sz w:val="21"/>
          <w:szCs w:val="21"/>
          <w:lang w:val="en-US" w:eastAsia="zh-CN" w:bidi="ar"/>
        </w:rPr>
        <w:t>425</w:t>
      </w:r>
      <w:r>
        <w:rPr>
          <w:rFonts w:hint="eastAsia" w:ascii="宋体" w:hAnsi="宋体" w:eastAsia="宋体" w:cs="宋体"/>
          <w:color w:val="000000"/>
          <w:kern w:val="0"/>
          <w:sz w:val="21"/>
          <w:szCs w:val="21"/>
          <w:lang w:val="en-US" w:eastAsia="zh-CN" w:bidi="ar"/>
        </w:rPr>
        <w:t>°C的</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 规范性引用文件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E112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测定平均粒径的试验方法；</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B150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 铝青铜线材、棒材和型材规格</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D1710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聚四氟乙烯基板、棒和厚壁的管规格</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GB/T 12220</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 工业阀门 标志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GB/T 12221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金属阀门 结构长度</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GB</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T 13927</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工业阀门 压力试验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GB/T 228.1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金属材料 拉伸试验 第1部分：室温试验方法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A262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奥氏体不锈钢晶间腐蚀敏感性的检测规程。</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A370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钢产品机械性能测试的方法和定义</w:t>
      </w:r>
    </w:p>
    <w:p>
      <w:pPr>
        <w:keepNext w:val="0"/>
        <w:keepLines w:val="0"/>
        <w:widowControl/>
        <w:suppressLineNumbers w:val="0"/>
        <w:jc w:val="left"/>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ASTM A479</w:t>
      </w:r>
      <w:r>
        <w:rPr>
          <w:rFonts w:hint="eastAsia" w:ascii="宋体" w:hAnsi="宋体" w:cs="宋体"/>
          <w:b w:val="0"/>
          <w:bCs w:val="0"/>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 xml:space="preserve"> </w:t>
      </w:r>
      <w:r>
        <w:rPr>
          <w:rFonts w:hint="eastAsia" w:ascii="宋体" w:hAnsi="宋体" w:cs="宋体"/>
          <w:b w:val="0"/>
          <w:bCs w:val="0"/>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锅炉及其它压力容器用不锈钢棒材和型材规格</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auto"/>
          <w:kern w:val="0"/>
          <w:sz w:val="21"/>
          <w:szCs w:val="21"/>
          <w:lang w:val="en-US" w:eastAsia="zh-CN" w:bidi="ar"/>
        </w:rPr>
        <w:t xml:space="preserve">ASTM A564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热锻及冷加工时效硬化不锈及耐热钢棒及型材规格</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GB/T 5097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无损检测 渗透检测 观察条件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 xml:space="preserve">JB∕T 6617 </w:t>
      </w:r>
      <w:r>
        <w:rPr>
          <w:rFonts w:hint="eastAsia" w:cs="宋体"/>
          <w:b w:val="0"/>
          <w:bCs w:val="0"/>
          <w:color w:val="auto"/>
          <w:kern w:val="0"/>
          <w:sz w:val="21"/>
          <w:szCs w:val="21"/>
          <w:lang w:val="en-US" w:eastAsia="zh-CN" w:bidi="ar"/>
        </w:rPr>
        <w:t xml:space="preserve"> </w:t>
      </w:r>
      <w:r>
        <w:rPr>
          <w:rFonts w:hint="eastAsia" w:ascii="宋体" w:hAnsi="宋体" w:eastAsia="宋体" w:cs="宋体"/>
          <w:b w:val="0"/>
          <w:bCs w:val="0"/>
          <w:color w:val="auto"/>
          <w:kern w:val="0"/>
          <w:sz w:val="21"/>
          <w:szCs w:val="21"/>
          <w:lang w:val="en-US" w:eastAsia="zh-CN" w:bidi="ar"/>
        </w:rPr>
        <w:t>柔性石墨填料环技术条件</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JB</w:t>
      </w:r>
      <w:r>
        <w:rPr>
          <w:rFonts w:hint="eastAsia" w:ascii="宋体" w:hAnsi="宋体" w:eastAsia="宋体" w:cs="宋体"/>
          <w:b w:val="0"/>
          <w:bCs w:val="0"/>
          <w:color w:val="auto"/>
          <w:kern w:val="0"/>
          <w:sz w:val="21"/>
          <w:szCs w:val="21"/>
          <w:lang w:val="en-US" w:eastAsia="zh-CN" w:bidi="ar"/>
        </w:rPr>
        <w:t>∕T</w:t>
      </w:r>
      <w:r>
        <w:rPr>
          <w:rFonts w:hint="default" w:ascii="宋体" w:hAnsi="宋体" w:eastAsia="宋体" w:cs="宋体"/>
          <w:color w:val="auto"/>
          <w:kern w:val="0"/>
          <w:sz w:val="21"/>
          <w:szCs w:val="21"/>
          <w:lang w:val="en-US" w:eastAsia="zh-CN" w:bidi="ar"/>
        </w:rPr>
        <w:t xml:space="preserve"> 7747</w:t>
      </w:r>
      <w:r>
        <w:rPr>
          <w:rFonts w:hint="eastAsia" w:ascii="宋体" w:hAnsi="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针形截止阀</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JB/T 7928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工业阀门 供货要求</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JB/T 8859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截止阀 静压寿命试验规程</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MSS SP-99</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zh-CN" w:eastAsia="zh-CN" w:bidi="ar"/>
        </w:rPr>
        <w:t>仪表阀门</w:t>
      </w: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 结构型式和参数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.1 结构型式 </w:t>
      </w: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典型一体式阀体结构型式如图</w:t>
      </w:r>
      <w:r>
        <w:rPr>
          <w:rFonts w:hint="eastAsia" w:ascii="宋体" w:hAnsi="宋体" w:cs="宋体"/>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 xml:space="preserve">所示，设计者可在符合本标准技术要求的前提下设计成其它结构型式。 </w:t>
      </w:r>
      <w:bookmarkStart w:id="0" w:name="_GoBack"/>
      <w:bookmarkEnd w:id="0"/>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420" w:firstLineChars="20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jc w:val="center"/>
        <w:rPr>
          <w:rFonts w:hint="eastAsia" w:ascii="宋体" w:hAnsi="宋体"/>
          <w:sz w:val="24"/>
        </w:rPr>
      </w:pPr>
      <w:r>
        <w:rPr>
          <w:rFonts w:hint="eastAsia" w:ascii="宋体" w:hAnsi="宋体" w:eastAsia="宋体" w:cs="宋体"/>
          <w:color w:val="000000"/>
          <w:kern w:val="0"/>
          <w:sz w:val="21"/>
          <w:szCs w:val="21"/>
          <w:lang w:val="en-US" w:eastAsia="zh-CN" w:bidi="ar"/>
        </w:rPr>
        <w:t>图1</w:t>
      </w:r>
      <w:r>
        <w:rPr>
          <w:rFonts w:hint="eastAsia" w:ascii="宋体" w:hAnsi="宋体" w:cs="宋体"/>
          <w:color w:val="000000"/>
          <w:kern w:val="0"/>
          <w:sz w:val="21"/>
          <w:szCs w:val="21"/>
          <w:lang w:val="en-US" w:eastAsia="zh-CN" w:bidi="ar"/>
        </w:rPr>
        <w:t>超高压针形阀直通型</w:t>
      </w: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rPr>
          <w:rFonts w:hint="eastAsia" w:ascii="宋体" w:hAnsi="宋体" w:eastAsia="宋体" w:cs="宋体"/>
          <w:color w:val="000000"/>
          <w:kern w:val="0"/>
          <w:sz w:val="21"/>
          <w:szCs w:val="21"/>
          <w:lang w:val="en-US" w:eastAsia="zh-CN" w:bidi="ar"/>
        </w:rPr>
      </w:pPr>
      <w:r>
        <w:drawing>
          <wp:inline distT="0" distB="0" distL="114300" distR="114300">
            <wp:extent cx="5342255" cy="6511290"/>
            <wp:effectExtent l="0" t="0" r="1079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342255" cy="6511290"/>
                    </a:xfrm>
                    <a:prstGeom prst="rect">
                      <a:avLst/>
                    </a:prstGeom>
                    <a:noFill/>
                    <a:ln>
                      <a:noFill/>
                    </a:ln>
                  </pic:spPr>
                </pic:pic>
              </a:graphicData>
            </a:graphic>
          </wp:inline>
        </w:drawing>
      </w:r>
    </w:p>
    <w:p>
      <w:pPr>
        <w:numPr>
          <w:ilvl w:val="0"/>
          <w:numId w:val="1"/>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阀体、2.压盖、3.轴环、4.阀杆、5.填料垫、6.填料、7.填料压垫、8.防转支撑环、9.防转板、10.开槽圆柱头螺钉、11.填料压盖、12.上阀杆、13.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w:t>
      </w:r>
    </w:p>
    <w:p>
      <w:pPr>
        <w:keepNext w:val="0"/>
        <w:keepLines w:val="0"/>
        <w:widowControl/>
        <w:suppressLineNumbers w:val="0"/>
        <w:jc w:val="left"/>
        <w:rPr>
          <w:rFonts w:ascii="黑体" w:hAnsi="宋体" w:eastAsia="黑体" w:cs="黑体"/>
          <w:color w:val="000000"/>
          <w:kern w:val="0"/>
          <w:sz w:val="21"/>
          <w:szCs w:val="21"/>
          <w:lang w:val="en-US" w:eastAsia="zh-CN" w:bidi="ar"/>
        </w:rPr>
      </w:pPr>
    </w:p>
    <w:p>
      <w:pPr>
        <w:keepNext w:val="0"/>
        <w:keepLines w:val="0"/>
        <w:widowControl/>
        <w:suppressLineNumbers w:val="0"/>
        <w:jc w:val="left"/>
        <w:rPr>
          <w:rFonts w:ascii="黑体" w:hAnsi="宋体" w:eastAsia="黑体" w:cs="黑体"/>
          <w:color w:val="000000"/>
          <w:kern w:val="0"/>
          <w:sz w:val="21"/>
          <w:szCs w:val="21"/>
          <w:lang w:val="en-US" w:eastAsia="zh-CN" w:bidi="ar"/>
        </w:rPr>
      </w:pPr>
    </w:p>
    <w:p>
      <w:pPr>
        <w:keepNext w:val="0"/>
        <w:keepLines w:val="0"/>
        <w:widowControl/>
        <w:suppressLineNumbers w:val="0"/>
        <w:jc w:val="left"/>
        <w:rPr>
          <w:rFonts w:ascii="黑体" w:hAnsi="宋体" w:eastAsia="黑体" w:cs="黑体"/>
          <w:color w:val="000000"/>
          <w:kern w:val="0"/>
          <w:sz w:val="21"/>
          <w:szCs w:val="21"/>
          <w:lang w:val="en-US" w:eastAsia="zh-CN" w:bidi="ar"/>
        </w:rPr>
      </w:pPr>
    </w:p>
    <w:p>
      <w:pPr>
        <w:keepNext w:val="0"/>
        <w:keepLines w:val="0"/>
        <w:widowControl/>
        <w:suppressLineNumbers w:val="0"/>
        <w:jc w:val="left"/>
        <w:rPr>
          <w:rFonts w:ascii="黑体" w:hAnsi="宋体" w:eastAsia="黑体" w:cs="黑体"/>
          <w:color w:val="000000"/>
          <w:kern w:val="0"/>
          <w:sz w:val="21"/>
          <w:szCs w:val="21"/>
          <w:lang w:val="en-US" w:eastAsia="zh-CN" w:bidi="ar"/>
        </w:rPr>
      </w:pPr>
    </w:p>
    <w:p>
      <w:pPr>
        <w:keepNext w:val="0"/>
        <w:keepLines w:val="0"/>
        <w:widowControl/>
        <w:suppressLineNumbers w:val="0"/>
        <w:jc w:val="left"/>
        <w:rPr>
          <w:rFonts w:ascii="黑体" w:hAnsi="宋体" w:eastAsia="黑体" w:cs="黑体"/>
          <w:color w:val="000000"/>
          <w:kern w:val="0"/>
          <w:sz w:val="21"/>
          <w:szCs w:val="21"/>
          <w:lang w:val="en-US" w:eastAsia="zh-CN" w:bidi="ar"/>
        </w:rPr>
      </w:pPr>
    </w:p>
    <w:p>
      <w:pPr>
        <w:keepNext w:val="0"/>
        <w:keepLines w:val="0"/>
        <w:widowControl/>
        <w:suppressLineNumbers w:val="0"/>
        <w:jc w:val="left"/>
        <w:rPr>
          <w:rFonts w:ascii="黑体" w:hAnsi="宋体" w:eastAsia="黑体" w:cs="黑体"/>
          <w:color w:val="000000"/>
          <w:kern w:val="0"/>
          <w:sz w:val="21"/>
          <w:szCs w:val="21"/>
          <w:lang w:val="en-US" w:eastAsia="zh-CN" w:bidi="ar"/>
        </w:rPr>
      </w:pPr>
    </w:p>
    <w:p>
      <w:pPr>
        <w:jc w:val="center"/>
        <w:rPr>
          <w:rFonts w:ascii="黑体" w:hAnsi="宋体" w:eastAsia="黑体" w:cs="黑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2超高压针形阀角型</w:t>
      </w:r>
    </w:p>
    <w:p>
      <w:pPr>
        <w:keepNext w:val="0"/>
        <w:keepLines w:val="0"/>
        <w:widowControl/>
        <w:suppressLineNumbers w:val="0"/>
        <w:jc w:val="left"/>
        <w:rPr>
          <w:rFonts w:ascii="黑体" w:hAnsi="宋体" w:eastAsia="黑体" w:cs="黑体"/>
          <w:color w:val="000000"/>
          <w:kern w:val="0"/>
          <w:sz w:val="21"/>
          <w:szCs w:val="21"/>
          <w:lang w:val="en-US" w:eastAsia="zh-CN" w:bidi="ar"/>
        </w:rPr>
      </w:pPr>
      <w:r>
        <w:drawing>
          <wp:inline distT="0" distB="0" distL="114300" distR="114300">
            <wp:extent cx="5160010" cy="780034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908"/>
                    <a:stretch>
                      <a:fillRect/>
                    </a:stretch>
                  </pic:blipFill>
                  <pic:spPr>
                    <a:xfrm>
                      <a:off x="0" y="0"/>
                      <a:ext cx="5160010" cy="7800340"/>
                    </a:xfrm>
                    <a:prstGeom prst="rect">
                      <a:avLst/>
                    </a:prstGeom>
                    <a:noFill/>
                    <a:ln>
                      <a:noFill/>
                    </a:ln>
                  </pic:spPr>
                </pic:pic>
              </a:graphicData>
            </a:graphic>
          </wp:inline>
        </w:drawing>
      </w:r>
    </w:p>
    <w:p>
      <w:pPr>
        <w:numPr>
          <w:ilvl w:val="0"/>
          <w:numId w:val="2"/>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阀体、2.压盖、3.轴环、4.阀杆、5.填料垫、6.填料、7.填料压垫、8.防转支撑环、</w:t>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w:t>
      </w: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3     超高压针形阀角型</w:t>
      </w:r>
    </w:p>
    <w:p>
      <w:pPr>
        <w:keepNext w:val="0"/>
        <w:keepLines w:val="0"/>
        <w:widowControl/>
        <w:suppressLineNumbers w:val="0"/>
        <w:jc w:val="left"/>
        <w:rPr>
          <w:rFonts w:hint="eastAsia" w:ascii="宋体" w:hAnsi="宋体" w:cs="宋体"/>
          <w:color w:val="000000"/>
          <w:kern w:val="0"/>
          <w:sz w:val="21"/>
          <w:szCs w:val="21"/>
          <w:lang w:val="en-US" w:eastAsia="zh-CN" w:bidi="ar"/>
        </w:rPr>
      </w:pPr>
      <w:r>
        <w:drawing>
          <wp:inline distT="0" distB="0" distL="114300" distR="114300">
            <wp:extent cx="5128895" cy="7853045"/>
            <wp:effectExtent l="0" t="0" r="1460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128895" cy="7853045"/>
                    </a:xfrm>
                    <a:prstGeom prst="rect">
                      <a:avLst/>
                    </a:prstGeom>
                    <a:noFill/>
                    <a:ln>
                      <a:noFill/>
                    </a:ln>
                  </pic:spPr>
                </pic:pic>
              </a:graphicData>
            </a:graphic>
          </wp:inline>
        </w:drawing>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1.阀体、2.压盖、3.轴环、4.阀杆、5.填料垫、6.填料、7.填料压垫、8.防转支撑环、</w:t>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hint="default"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15.内六角圆柱头螺钉、16.阀座、17.阀座压盖</w:t>
      </w:r>
    </w:p>
    <w:p>
      <w:pPr>
        <w:keepNext w:val="0"/>
        <w:keepLines w:val="0"/>
        <w:widowControl/>
        <w:suppressLineNumbers w:val="0"/>
        <w:ind w:firstLine="3150" w:firstLineChars="15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图4</w:t>
      </w:r>
      <w:r>
        <w:rPr>
          <w:rFonts w:hint="eastAsia" w:ascii="宋体" w:hAnsi="宋体" w:cs="宋体"/>
          <w:color w:val="000000"/>
          <w:kern w:val="0"/>
          <w:sz w:val="21"/>
          <w:szCs w:val="21"/>
          <w:lang w:val="en-US" w:eastAsia="zh-CN" w:bidi="ar"/>
        </w:rPr>
        <w:t xml:space="preserve"> 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 xml:space="preserve">/2进 </w:t>
      </w:r>
    </w:p>
    <w:p>
      <w:pPr>
        <w:keepNext w:val="0"/>
        <w:keepLines w:val="0"/>
        <w:widowControl/>
        <w:suppressLineNumbers w:val="0"/>
        <w:jc w:val="center"/>
        <w:rPr>
          <w:rFonts w:hint="eastAsia" w:ascii="宋体" w:hAnsi="宋体" w:cs="宋体"/>
          <w:color w:val="000000"/>
          <w:kern w:val="0"/>
          <w:sz w:val="21"/>
          <w:szCs w:val="21"/>
          <w:lang w:val="en-US" w:eastAsia="zh-CN" w:bidi="ar"/>
        </w:rPr>
      </w:pPr>
    </w:p>
    <w:p>
      <w:pPr>
        <w:keepNext w:val="0"/>
        <w:keepLines w:val="0"/>
        <w:widowControl/>
        <w:suppressLineNumbers w:val="0"/>
        <w:jc w:val="center"/>
        <w:rPr>
          <w:rFonts w:hint="eastAsia" w:ascii="宋体" w:hAnsi="宋体" w:cs="宋体"/>
          <w:color w:val="000000"/>
          <w:kern w:val="0"/>
          <w:sz w:val="21"/>
          <w:szCs w:val="21"/>
          <w:lang w:val="en-US" w:eastAsia="zh-CN" w:bidi="ar"/>
        </w:rPr>
      </w:pPr>
      <w:r>
        <w:drawing>
          <wp:inline distT="0" distB="0" distL="114300" distR="114300">
            <wp:extent cx="5274310" cy="6464300"/>
            <wp:effectExtent l="0" t="0" r="2540"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74310" cy="6464300"/>
                    </a:xfrm>
                    <a:prstGeom prst="rect">
                      <a:avLst/>
                    </a:prstGeom>
                    <a:noFill/>
                    <a:ln>
                      <a:noFill/>
                    </a:ln>
                  </pic:spPr>
                </pic:pic>
              </a:graphicData>
            </a:graphic>
          </wp:inline>
        </w:drawing>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1.阀体、2.压盖、3.轴环、4.阀杆、5.填料垫、6.填料、7.填料压垫、8.防转支撑环、</w:t>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w:t>
      </w: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5  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/1进</w:t>
      </w:r>
    </w:p>
    <w:p>
      <w:pPr>
        <w:keepNext w:val="0"/>
        <w:keepLines w:val="0"/>
        <w:widowControl/>
        <w:suppressLineNumbers w:val="0"/>
        <w:jc w:val="left"/>
        <w:rPr>
          <w:rFonts w:hint="eastAsia" w:ascii="宋体" w:hAnsi="宋体" w:cs="宋体"/>
          <w:color w:val="000000"/>
          <w:kern w:val="0"/>
          <w:sz w:val="21"/>
          <w:szCs w:val="21"/>
          <w:lang w:val="en-US" w:eastAsia="zh-CN" w:bidi="ar"/>
        </w:rPr>
      </w:pPr>
      <w:r>
        <w:drawing>
          <wp:inline distT="0" distB="0" distL="114300" distR="114300">
            <wp:extent cx="5273675" cy="6336665"/>
            <wp:effectExtent l="0" t="0" r="317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73675" cy="6336665"/>
                    </a:xfrm>
                    <a:prstGeom prst="rect">
                      <a:avLst/>
                    </a:prstGeom>
                    <a:noFill/>
                    <a:ln>
                      <a:noFill/>
                    </a:ln>
                  </pic:spPr>
                </pic:pic>
              </a:graphicData>
            </a:graphic>
          </wp:inline>
        </w:drawing>
      </w:r>
    </w:p>
    <w:p>
      <w:pPr>
        <w:keepNext w:val="0"/>
        <w:keepLines w:val="0"/>
        <w:widowControl/>
        <w:suppressLineNumbers w:val="0"/>
        <w:jc w:val="left"/>
        <w:rPr>
          <w:rFonts w:hint="eastAsia" w:ascii="宋体" w:hAnsi="宋体" w:cs="宋体"/>
          <w:color w:val="000000"/>
          <w:kern w:val="0"/>
          <w:sz w:val="21"/>
          <w:szCs w:val="21"/>
          <w:lang w:val="en-US" w:eastAsia="zh-CN" w:bidi="ar"/>
        </w:rPr>
      </w:pP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1.阀体、2.压盖、3.轴环、4.阀杆、5.填料垫、6.填料、7.填料压垫、8.防转支撑环、</w:t>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w:t>
      </w: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1680" w:firstLineChars="800"/>
        <w:jc w:val="left"/>
        <w:rPr>
          <w:rFonts w:hint="default"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图6 </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 xml:space="preserve">/2阀组 </w:t>
      </w:r>
    </w:p>
    <w:p>
      <w:pPr>
        <w:keepNext w:val="0"/>
        <w:keepLines w:val="0"/>
        <w:widowControl/>
        <w:suppressLineNumbers w:val="0"/>
        <w:jc w:val="left"/>
        <w:rPr>
          <w:rFonts w:hint="eastAsia" w:ascii="宋体" w:hAnsi="宋体" w:cs="宋体"/>
          <w:color w:val="000000"/>
          <w:kern w:val="0"/>
          <w:sz w:val="21"/>
          <w:szCs w:val="21"/>
          <w:lang w:val="en-US" w:eastAsia="zh-CN" w:bidi="ar"/>
        </w:rPr>
      </w:pPr>
      <w:r>
        <w:drawing>
          <wp:inline distT="0" distB="0" distL="114300" distR="114300">
            <wp:extent cx="4386580" cy="7567295"/>
            <wp:effectExtent l="0" t="0" r="13970" b="146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4386580" cy="7567295"/>
                    </a:xfrm>
                    <a:prstGeom prst="rect">
                      <a:avLst/>
                    </a:prstGeom>
                    <a:noFill/>
                    <a:ln>
                      <a:noFill/>
                    </a:ln>
                  </pic:spPr>
                </pic:pic>
              </a:graphicData>
            </a:graphic>
          </wp:inline>
        </w:drawing>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1.阀体、2.压盖、3.轴环、4.阀杆、5.填料垫、6.填料、7.填料压垫、8.防转支撑环、</w:t>
      </w:r>
    </w:p>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9.防转板、10.开槽圆柱头螺钉、11.填料压盖、12.上阀杆、13.</w:t>
      </w:r>
      <w:r>
        <w:rPr>
          <w:rFonts w:hint="eastAsia" w:ascii="宋体" w:hAnsi="宋体" w:eastAsia="宋体" w:cs="宋体"/>
          <w:color w:val="000000"/>
          <w:kern w:val="0"/>
          <w:sz w:val="21"/>
          <w:szCs w:val="21"/>
          <w:lang w:val="en-US" w:eastAsia="zh-CN" w:bidi="ar"/>
        </w:rPr>
        <w:t>针阀手柄</w:t>
      </w:r>
      <w:r>
        <w:rPr>
          <w:rFonts w:hint="eastAsia" w:ascii="宋体" w:hAnsi="宋体" w:cs="宋体"/>
          <w:color w:val="000000"/>
          <w:kern w:val="0"/>
          <w:sz w:val="21"/>
          <w:szCs w:val="21"/>
          <w:lang w:val="en-US" w:eastAsia="zh-CN" w:bidi="ar"/>
        </w:rPr>
        <w:t>、14.弹簧垫圈、</w:t>
      </w:r>
    </w:p>
    <w:p>
      <w:pPr>
        <w:numPr>
          <w:ilvl w:val="0"/>
          <w:numId w:val="0"/>
        </w:numPr>
        <w:rPr>
          <w:rFonts w:ascii="黑体" w:hAnsi="宋体" w:eastAsia="黑体" w:cs="黑体"/>
          <w:color w:val="000000"/>
          <w:kern w:val="0"/>
          <w:sz w:val="21"/>
          <w:szCs w:val="21"/>
          <w:lang w:val="en-US" w:eastAsia="zh-CN" w:bidi="ar"/>
        </w:rPr>
      </w:pPr>
      <w:r>
        <w:rPr>
          <w:rFonts w:hint="eastAsia" w:ascii="宋体" w:hAnsi="宋体" w:cs="宋体"/>
          <w:color w:val="000000"/>
          <w:kern w:val="0"/>
          <w:sz w:val="21"/>
          <w:szCs w:val="21"/>
          <w:lang w:val="en-US" w:eastAsia="zh-CN" w:bidi="ar"/>
        </w:rPr>
        <w:t>15.内六角圆柱头螺钉</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.2 参数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.2.1 接口尺寸应按5.1 的规定,或按订货合同的规定。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.2.2 阀门通道直径按照5.1 确定,或按订货合同的规定。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.2.3 压力应按</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的规定,或按订货合同的规定。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.3 压力-温度额定值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.3.1 </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在不同的工作温度下，允许的工作压力按表</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的规定。 </w:t>
      </w:r>
    </w:p>
    <w:p>
      <w:pPr>
        <w:keepNext w:val="0"/>
        <w:keepLines w:val="0"/>
        <w:widowControl/>
        <w:suppressLineNumbers w:val="0"/>
        <w:ind w:firstLine="2310" w:firstLineChars="110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表1</w:t>
      </w:r>
      <w:r>
        <w:rPr>
          <w:rFonts w:hint="eastAsia" w:ascii="宋体" w:hAnsi="宋体" w:eastAsia="宋体" w:cs="宋体"/>
          <w:color w:val="000000"/>
          <w:kern w:val="0"/>
          <w:sz w:val="21"/>
          <w:szCs w:val="21"/>
          <w:lang w:val="en-US" w:eastAsia="zh-CN" w:bidi="ar"/>
        </w:rPr>
        <w:t xml:space="preserve"> </w:t>
      </w:r>
    </w:p>
    <w:tbl>
      <w:tblPr>
        <w:tblStyle w:val="7"/>
        <w:tblW w:w="45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89"/>
        <w:gridCol w:w="23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45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工作压力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 作 温 度</w:t>
            </w:r>
            <w:r>
              <w:rPr>
                <w:rStyle w:val="18"/>
                <w:rFonts w:eastAsia="宋体"/>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 作 压 力 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r>
              <w:rPr>
                <w:rStyle w:val="19"/>
                <w:rFonts w:eastAsia="宋体"/>
                <w:lang w:val="en-US" w:eastAsia="zh-CN" w:bidi="ar"/>
              </w:rPr>
              <w:t>54</w:t>
            </w: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151～2</w:t>
            </w:r>
            <w:r>
              <w:rPr>
                <w:rStyle w:val="18"/>
                <w:rFonts w:eastAsia="宋体"/>
                <w:lang w:val="en-US" w:eastAsia="zh-CN" w:bidi="ar"/>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201～25</w:t>
            </w:r>
            <w:r>
              <w:rPr>
                <w:rStyle w:val="18"/>
                <w:rFonts w:eastAsia="宋体"/>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301～35</w:t>
            </w:r>
            <w:r>
              <w:rPr>
                <w:rStyle w:val="18"/>
                <w:rFonts w:eastAsia="宋体"/>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w:t>
            </w:r>
            <w:r>
              <w:rPr>
                <w:rStyle w:val="18"/>
                <w:rFonts w:eastAsia="宋体"/>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401～</w:t>
            </w:r>
            <w:r>
              <w:rPr>
                <w:rStyle w:val="18"/>
                <w:rFonts w:eastAsia="宋体"/>
                <w:lang w:val="en-US" w:eastAsia="zh-CN" w:bidi="ar"/>
              </w:rPr>
              <w:t>4</w:t>
            </w:r>
            <w:r>
              <w:rPr>
                <w:rStyle w:val="18"/>
                <w:rFonts w:hint="eastAsia"/>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172.4</w:t>
            </w:r>
          </w:p>
        </w:tc>
      </w:tr>
    </w:tbl>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PTFE 填料</w:t>
      </w:r>
      <w:r>
        <w:rPr>
          <w:rFonts w:hint="eastAsia" w:ascii="宋体" w:hAnsi="宋体" w:cs="宋体"/>
          <w:color w:val="000000"/>
          <w:kern w:val="0"/>
          <w:sz w:val="20"/>
          <w:szCs w:val="20"/>
          <w:lang w:val="en-US" w:eastAsia="zh-CN" w:bidi="ar"/>
        </w:rPr>
        <w:t>超高压针形阀</w:t>
      </w:r>
      <w:r>
        <w:rPr>
          <w:rFonts w:hint="eastAsia" w:ascii="宋体" w:hAnsi="宋体" w:eastAsia="宋体" w:cs="宋体"/>
          <w:color w:val="000000"/>
          <w:kern w:val="0"/>
          <w:sz w:val="20"/>
          <w:szCs w:val="20"/>
          <w:lang w:val="en-US" w:eastAsia="zh-CN" w:bidi="ar"/>
        </w:rPr>
        <w:t>工作温度从 -</w:t>
      </w:r>
      <w:r>
        <w:rPr>
          <w:rFonts w:hint="eastAsia" w:ascii="宋体" w:hAnsi="宋体" w:cs="宋体"/>
          <w:color w:val="000000"/>
          <w:kern w:val="0"/>
          <w:sz w:val="20"/>
          <w:szCs w:val="20"/>
          <w:lang w:val="en-US" w:eastAsia="zh-CN" w:bidi="ar"/>
        </w:rPr>
        <w:t>54</w:t>
      </w:r>
      <w:r>
        <w:rPr>
          <w:rFonts w:hint="eastAsia" w:ascii="宋体" w:hAnsi="宋体" w:eastAsia="宋体" w:cs="宋体"/>
          <w:color w:val="000000"/>
          <w:kern w:val="0"/>
          <w:sz w:val="20"/>
          <w:szCs w:val="20"/>
          <w:lang w:val="en-US" w:eastAsia="zh-CN" w:bidi="ar"/>
        </w:rPr>
        <w:t>°C  至 2</w:t>
      </w:r>
      <w:r>
        <w:rPr>
          <w:rFonts w:hint="eastAsia" w:ascii="宋体" w:hAnsi="宋体" w:cs="宋体"/>
          <w:color w:val="000000"/>
          <w:kern w:val="0"/>
          <w:sz w:val="20"/>
          <w:szCs w:val="20"/>
          <w:lang w:val="en-US" w:eastAsia="zh-CN" w:bidi="ar"/>
        </w:rPr>
        <w:t>00</w:t>
      </w:r>
      <w:r>
        <w:rPr>
          <w:rFonts w:hint="eastAsia" w:ascii="宋体" w:hAnsi="宋体" w:eastAsia="宋体" w:cs="宋体"/>
          <w:color w:val="000000"/>
          <w:kern w:val="0"/>
          <w:sz w:val="20"/>
          <w:szCs w:val="20"/>
          <w:lang w:val="en-US" w:eastAsia="zh-CN" w:bidi="ar"/>
        </w:rPr>
        <w:t xml:space="preserve">°C 。 </w:t>
      </w:r>
    </w:p>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玻纤增强型 PTFE 填料</w:t>
      </w:r>
      <w:r>
        <w:rPr>
          <w:rFonts w:hint="eastAsia" w:ascii="宋体" w:hAnsi="宋体" w:cs="宋体"/>
          <w:color w:val="000000"/>
          <w:kern w:val="0"/>
          <w:sz w:val="20"/>
          <w:szCs w:val="20"/>
          <w:lang w:val="en-US" w:eastAsia="zh-CN" w:bidi="ar"/>
        </w:rPr>
        <w:t>超高压针形阀</w:t>
      </w:r>
      <w:r>
        <w:rPr>
          <w:rFonts w:hint="eastAsia" w:ascii="宋体" w:hAnsi="宋体" w:eastAsia="宋体" w:cs="宋体"/>
          <w:color w:val="000000"/>
          <w:kern w:val="0"/>
          <w:sz w:val="20"/>
          <w:szCs w:val="20"/>
          <w:lang w:val="en-US" w:eastAsia="zh-CN" w:bidi="ar"/>
        </w:rPr>
        <w:t>的工作温度从 -</w:t>
      </w:r>
      <w:r>
        <w:rPr>
          <w:rFonts w:hint="eastAsia" w:ascii="宋体" w:hAnsi="宋体" w:cs="宋体"/>
          <w:color w:val="000000"/>
          <w:kern w:val="0"/>
          <w:sz w:val="20"/>
          <w:szCs w:val="20"/>
          <w:lang w:val="en-US" w:eastAsia="zh-CN" w:bidi="ar"/>
        </w:rPr>
        <w:t>54</w:t>
      </w:r>
      <w:r>
        <w:rPr>
          <w:rFonts w:hint="eastAsia" w:ascii="宋体" w:hAnsi="宋体" w:eastAsia="宋体" w:cs="宋体"/>
          <w:color w:val="000000"/>
          <w:kern w:val="0"/>
          <w:sz w:val="20"/>
          <w:szCs w:val="20"/>
          <w:lang w:val="en-US" w:eastAsia="zh-CN" w:bidi="ar"/>
        </w:rPr>
        <w:t xml:space="preserve">°C 至 </w:t>
      </w:r>
      <w:r>
        <w:rPr>
          <w:rFonts w:hint="eastAsia" w:ascii="宋体" w:hAnsi="宋体" w:cs="宋体"/>
          <w:color w:val="000000"/>
          <w:kern w:val="0"/>
          <w:sz w:val="20"/>
          <w:szCs w:val="20"/>
          <w:lang w:val="en-US" w:eastAsia="zh-CN" w:bidi="ar"/>
        </w:rPr>
        <w:t>250</w:t>
      </w:r>
      <w:r>
        <w:rPr>
          <w:rFonts w:hint="eastAsia" w:ascii="宋体" w:hAnsi="宋体" w:eastAsia="宋体" w:cs="宋体"/>
          <w:color w:val="000000"/>
          <w:kern w:val="0"/>
          <w:sz w:val="20"/>
          <w:szCs w:val="20"/>
          <w:lang w:val="en-US" w:eastAsia="zh-CN" w:bidi="ar"/>
        </w:rPr>
        <w:t xml:space="preserve">°C 。 </w:t>
      </w:r>
    </w:p>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石墨填料</w:t>
      </w:r>
      <w:r>
        <w:rPr>
          <w:rFonts w:hint="eastAsia" w:ascii="宋体" w:hAnsi="宋体" w:cs="宋体"/>
          <w:color w:val="000000"/>
          <w:kern w:val="0"/>
          <w:sz w:val="20"/>
          <w:szCs w:val="20"/>
          <w:lang w:val="en-US" w:eastAsia="zh-CN" w:bidi="ar"/>
        </w:rPr>
        <w:t>超高压针形阀</w:t>
      </w:r>
      <w:r>
        <w:rPr>
          <w:rFonts w:hint="eastAsia" w:ascii="宋体" w:hAnsi="宋体" w:eastAsia="宋体" w:cs="宋体"/>
          <w:color w:val="000000"/>
          <w:kern w:val="0"/>
          <w:sz w:val="20"/>
          <w:szCs w:val="20"/>
          <w:lang w:val="en-US" w:eastAsia="zh-CN" w:bidi="ar"/>
        </w:rPr>
        <w:t>工作温度从 -</w:t>
      </w:r>
      <w:r>
        <w:rPr>
          <w:rFonts w:hint="eastAsia" w:ascii="宋体" w:hAnsi="宋体" w:cs="宋体"/>
          <w:color w:val="000000"/>
          <w:kern w:val="0"/>
          <w:sz w:val="20"/>
          <w:szCs w:val="20"/>
          <w:lang w:val="en-US" w:eastAsia="zh-CN" w:bidi="ar"/>
        </w:rPr>
        <w:t>54</w:t>
      </w:r>
      <w:r>
        <w:rPr>
          <w:rFonts w:hint="eastAsia" w:ascii="宋体" w:hAnsi="宋体" w:eastAsia="宋体" w:cs="宋体"/>
          <w:color w:val="000000"/>
          <w:kern w:val="0"/>
          <w:sz w:val="20"/>
          <w:szCs w:val="20"/>
          <w:lang w:val="en-US" w:eastAsia="zh-CN" w:bidi="ar"/>
        </w:rPr>
        <w:t>°C 至 42</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 xml:space="preserve">°C 。 </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0"/>
          <w:szCs w:val="20"/>
          <w:lang w:val="en-US" w:eastAsia="zh-CN" w:bidi="ar"/>
        </w:rPr>
        <w:t>石墨填料不适用于氢气或氦气介质产品。</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基本要求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.1 设计研发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.1.1 在产品设计研发阶段应进行强度计算。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.1.2 在产品设计验证或确认阶段对结构和性能进行仿真模拟。</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.2 材料</w:t>
      </w:r>
      <w:r>
        <w:rPr>
          <w:rFonts w:hint="eastAsia" w:ascii="宋体" w:hAnsi="宋体" w:cs="宋体"/>
          <w:color w:val="000000"/>
          <w:kern w:val="0"/>
          <w:sz w:val="21"/>
          <w:szCs w:val="21"/>
          <w:lang w:val="en-US" w:eastAsia="zh-CN" w:bidi="ar"/>
        </w:rPr>
        <w:t>和零部件</w:t>
      </w:r>
      <w:r>
        <w:rPr>
          <w:rFonts w:hint="eastAsia" w:ascii="宋体" w:hAnsi="宋体" w:eastAsia="宋体" w:cs="宋体"/>
          <w:color w:val="000000"/>
          <w:kern w:val="0"/>
          <w:sz w:val="21"/>
          <w:szCs w:val="21"/>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.2.1 金属材料的化学成分、力学性能等应符合相关标准的要求。其中承压用的材料应能提供产品质量证明书，实现可追溯性要求。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.2.2 其他材料性能应满足相应工况的使用性能要求。</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阀门的主要零件材料应根据使用温度、工作压力及介质等因素选用。其主要零件材料见表 1。设计者可选用不低于表 1 所列材料化学成分和力学性能的其它材料。阀体、阀杆等主要零件均应进行化学成分和力学性能检验。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表1 主要零件材料</w:t>
      </w:r>
    </w:p>
    <w:tbl>
      <w:tblPr>
        <w:tblStyle w:val="7"/>
        <w:tblW w:w="8820" w:type="dxa"/>
        <w:tblInd w:w="0" w:type="dxa"/>
        <w:shd w:val="clear" w:color="auto" w:fill="auto"/>
        <w:tblLayout w:type="fixed"/>
        <w:tblCellMar>
          <w:top w:w="0" w:type="dxa"/>
          <w:left w:w="0" w:type="dxa"/>
          <w:bottom w:w="0" w:type="dxa"/>
          <w:right w:w="0" w:type="dxa"/>
        </w:tblCellMar>
      </w:tblPr>
      <w:tblGrid>
        <w:gridCol w:w="1080"/>
        <w:gridCol w:w="1738"/>
        <w:gridCol w:w="3803"/>
        <w:gridCol w:w="2199"/>
      </w:tblGrid>
      <w:tr>
        <w:tblPrEx>
          <w:tblCellMar>
            <w:top w:w="0" w:type="dxa"/>
            <w:left w:w="0" w:type="dxa"/>
            <w:bottom w:w="0" w:type="dxa"/>
            <w:right w:w="0" w:type="dxa"/>
          </w:tblCellMar>
        </w:tblPrEx>
        <w:trPr>
          <w:trHeight w:val="44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零件名称</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w:t>
            </w:r>
          </w:p>
        </w:tc>
      </w:tr>
      <w:tr>
        <w:tblPrEx>
          <w:shd w:val="clear" w:color="auto" w:fill="auto"/>
          <w:tblCellMar>
            <w:top w:w="0" w:type="dxa"/>
            <w:left w:w="0" w:type="dxa"/>
            <w:bottom w:w="0" w:type="dxa"/>
            <w:right w:w="0" w:type="dxa"/>
          </w:tblCellMar>
        </w:tblPrEx>
        <w:trPr>
          <w:trHeight w:val="4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名称</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牌号</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标准号</w:t>
            </w:r>
          </w:p>
        </w:tc>
      </w:tr>
      <w:tr>
        <w:tblPrEx>
          <w:shd w:val="clear" w:color="auto" w:fill="auto"/>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阀体</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S30408、S31608</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ASTM A479</w:t>
            </w:r>
          </w:p>
        </w:tc>
      </w:tr>
      <w:tr>
        <w:tblPrEx>
          <w:shd w:val="clear" w:color="auto" w:fill="auto"/>
          <w:tblCellMar>
            <w:top w:w="0" w:type="dxa"/>
            <w:left w:w="0" w:type="dxa"/>
            <w:bottom w:w="0" w:type="dxa"/>
            <w:right w:w="0"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阀杆</w:t>
            </w:r>
          </w:p>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填料垫</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马氏体沉淀硬化不锈钢</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S17400</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ASTM A564</w:t>
            </w:r>
          </w:p>
        </w:tc>
      </w:tr>
      <w:tr>
        <w:tblPrEx>
          <w:shd w:val="clear" w:color="auto" w:fill="auto"/>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填料压盖</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铝青铜</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C63000</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ASTM B150</w:t>
            </w:r>
          </w:p>
        </w:tc>
      </w:tr>
      <w:tr>
        <w:tblPrEx>
          <w:shd w:val="clear" w:color="auto" w:fill="auto"/>
          <w:tblCellMar>
            <w:top w:w="0" w:type="dxa"/>
            <w:left w:w="0" w:type="dxa"/>
            <w:bottom w:w="0" w:type="dxa"/>
            <w:right w:w="0" w:type="dxa"/>
          </w:tblCellMar>
        </w:tblPrEx>
        <w:trPr>
          <w:trHeight w:val="440" w:hRule="atLeast"/>
        </w:trPr>
        <w:tc>
          <w:tcPr>
            <w:tcW w:w="10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填料</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PTFE Type Ⅰ</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PTFE Type Ⅰ</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 xml:space="preserve">ASTM </w:t>
            </w:r>
            <w:r>
              <w:rPr>
                <w:rFonts w:hint="eastAsia" w:ascii="宋体" w:hAnsi="宋体" w:eastAsia="宋体" w:cs="宋体"/>
                <w:i w:val="0"/>
                <w:color w:val="000000"/>
                <w:kern w:val="0"/>
                <w:sz w:val="22"/>
                <w:szCs w:val="22"/>
                <w:u w:val="none"/>
                <w:lang w:val="en-US" w:eastAsia="zh-CN" w:bidi="ar"/>
              </w:rPr>
              <w:t xml:space="preserve">D1710 </w:t>
            </w:r>
          </w:p>
        </w:tc>
      </w:tr>
      <w:tr>
        <w:tblPrEx>
          <w:shd w:val="clear" w:color="auto" w:fill="auto"/>
          <w:tblCellMar>
            <w:top w:w="0" w:type="dxa"/>
            <w:left w:w="0" w:type="dxa"/>
            <w:bottom w:w="0" w:type="dxa"/>
            <w:right w:w="0" w:type="dxa"/>
          </w:tblCellMar>
        </w:tblPrEx>
        <w:trPr>
          <w:trHeight w:val="440" w:hRule="atLeast"/>
        </w:trPr>
        <w:tc>
          <w:tcPr>
            <w:tcW w:w="10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1"/>
                <w:szCs w:val="21"/>
                <w:lang w:val="en-US" w:eastAsia="zh-CN" w:bidi="ar"/>
              </w:rPr>
              <w:t>柔性石墨填料</w:t>
            </w:r>
          </w:p>
        </w:tc>
        <w:tc>
          <w:tcPr>
            <w:tcW w:w="3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柔性石墨填料</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JB∕T 6617</w:t>
            </w:r>
          </w:p>
        </w:tc>
      </w:tr>
    </w:tbl>
    <w:p>
      <w:pPr>
        <w:keepNext w:val="0"/>
        <w:keepLines w:val="0"/>
        <w:widowControl/>
        <w:suppressLineNumbers w:val="0"/>
        <w:jc w:val="left"/>
        <w:rPr>
          <w:rFonts w:hint="eastAsia" w:ascii="宋体" w:hAnsi="宋体" w:eastAsia="宋体"/>
        </w:rPr>
      </w:pPr>
    </w:p>
    <w:p>
      <w:pPr>
        <w:keepNext w:val="0"/>
        <w:keepLines w:val="0"/>
        <w:widowControl/>
        <w:suppressLineNumbers w:val="0"/>
        <w:jc w:val="left"/>
        <w:rPr>
          <w:rFonts w:hint="default" w:ascii="宋体" w:hAnsi="宋体"/>
          <w:lang w:val="en-US" w:eastAsia="zh-CN"/>
        </w:rPr>
      </w:pPr>
      <w:r>
        <w:rPr>
          <w:rFonts w:hint="eastAsia" w:ascii="宋体" w:hAnsi="宋体"/>
          <w:lang w:val="en-US" w:eastAsia="zh-CN"/>
        </w:rPr>
        <w:t>4</w:t>
      </w:r>
      <w:r>
        <w:rPr>
          <w:rFonts w:hint="eastAsia" w:ascii="宋体" w:hAnsi="宋体" w:eastAsia="宋体"/>
          <w:lang w:val="en-US" w:eastAsia="zh-CN"/>
        </w:rPr>
        <w:t>.2.3阀体</w:t>
      </w:r>
      <w:r>
        <w:rPr>
          <w:rFonts w:hint="eastAsia" w:ascii="宋体" w:hAnsi="宋体" w:eastAsia="宋体"/>
        </w:rPr>
        <w:t>材</w:t>
      </w:r>
      <w:r>
        <w:rPr>
          <w:rFonts w:hint="eastAsia" w:ascii="宋体" w:hAnsi="宋体" w:eastAsia="宋体"/>
          <w:lang w:val="en-US" w:eastAsia="zh-CN"/>
        </w:rPr>
        <w:t>料</w:t>
      </w:r>
      <w:r>
        <w:rPr>
          <w:rFonts w:hint="eastAsia" w:ascii="宋体" w:hAnsi="宋体" w:eastAsia="宋体"/>
        </w:rPr>
        <w:t>除标准里面的规定以外，其他要求应符合ASTM A479的相关规定；</w:t>
      </w:r>
    </w:p>
    <w:p>
      <w:pPr>
        <w:keepNext w:val="0"/>
        <w:keepLines w:val="0"/>
        <w:widowControl/>
        <w:suppressLineNumbers w:val="0"/>
        <w:jc w:val="left"/>
        <w:rPr>
          <w:rFonts w:hint="eastAsia" w:ascii="宋体" w:hAnsi="宋体" w:eastAsia="宋体"/>
        </w:rPr>
      </w:pPr>
      <w:r>
        <w:rPr>
          <w:rFonts w:hint="eastAsia" w:ascii="宋体" w:hAnsi="宋体"/>
          <w:lang w:val="en-US" w:eastAsia="zh-CN"/>
        </w:rPr>
        <w:t>4.2.4阀体</w:t>
      </w:r>
      <w:r>
        <w:rPr>
          <w:rFonts w:hint="eastAsia" w:ascii="宋体" w:hAnsi="宋体" w:eastAsia="宋体"/>
        </w:rPr>
        <w:t>材</w:t>
      </w:r>
      <w:r>
        <w:rPr>
          <w:rFonts w:hint="eastAsia" w:ascii="宋体" w:hAnsi="宋体" w:eastAsia="宋体" w:cs="宋体"/>
          <w:color w:val="000000"/>
          <w:kern w:val="0"/>
          <w:sz w:val="21"/>
          <w:szCs w:val="21"/>
          <w:lang w:val="en-US" w:eastAsia="zh-CN" w:bidi="ar"/>
        </w:rPr>
        <w:t>料应为</w:t>
      </w:r>
      <w:r>
        <w:rPr>
          <w:rFonts w:hint="eastAsia" w:ascii="宋体" w:hAnsi="宋体" w:cs="宋体"/>
          <w:i w:val="0"/>
          <w:color w:val="000000"/>
          <w:sz w:val="22"/>
          <w:szCs w:val="22"/>
          <w:u w:val="none"/>
          <w:lang w:val="en-US" w:eastAsia="zh-CN"/>
        </w:rPr>
        <w:t>ASTM A479标准中</w:t>
      </w:r>
      <w:r>
        <w:rPr>
          <w:rFonts w:hint="eastAsia" w:ascii="宋体" w:hAnsi="宋体" w:eastAsia="宋体" w:cs="宋体"/>
          <w:color w:val="000000"/>
          <w:kern w:val="0"/>
          <w:sz w:val="21"/>
          <w:szCs w:val="21"/>
          <w:lang w:val="en-US" w:eastAsia="zh-CN" w:bidi="ar"/>
        </w:rPr>
        <w:t>应力硬化制造，硬化后，晶间腐蚀检测应符合ASTM A262规程E的晶间腐蚀敏感性检测的相关规定及平均晶粒度应符合ASTM E112试验方法的相关规定。</w:t>
      </w:r>
    </w:p>
    <w:p>
      <w:pPr>
        <w:pStyle w:val="11"/>
        <w:ind w:left="482" w:hanging="420" w:hangingChars="20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4.2.5 阀体材料机械性能要求</w:t>
      </w:r>
    </w:p>
    <w:p>
      <w:pPr>
        <w:pStyle w:val="11"/>
        <w:ind w:left="480" w:hanging="420" w:hangingChars="20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阀体材料，拉伸性能和硬度应符合表2的要求。试验按照ASTM A370的相关规定执行。</w:t>
      </w:r>
    </w:p>
    <w:p>
      <w:pPr>
        <w:pStyle w:val="11"/>
        <w:ind w:left="420" w:hanging="420" w:hangingChars="200"/>
        <w:jc w:val="center"/>
        <w:rPr>
          <w:rFonts w:ascii="宋体" w:hAnsi="宋体" w:eastAsia="宋体"/>
          <w:sz w:val="21"/>
          <w:szCs w:val="21"/>
        </w:rPr>
      </w:pPr>
      <w:r>
        <w:rPr>
          <w:rFonts w:hint="eastAsia" w:ascii="宋体" w:hAnsi="宋体" w:eastAsia="宋体"/>
          <w:sz w:val="21"/>
          <w:szCs w:val="21"/>
        </w:rPr>
        <w:t>表2</w:t>
      </w:r>
    </w:p>
    <w:tbl>
      <w:tblPr>
        <w:tblStyle w:val="7"/>
        <w:tblW w:w="0" w:type="auto"/>
        <w:jc w:val="center"/>
        <w:tblLayout w:type="fixed"/>
        <w:tblCellMar>
          <w:top w:w="0" w:type="dxa"/>
          <w:left w:w="108" w:type="dxa"/>
          <w:bottom w:w="0" w:type="dxa"/>
          <w:right w:w="108" w:type="dxa"/>
        </w:tblCellMar>
      </w:tblPr>
      <w:tblGrid>
        <w:gridCol w:w="1220"/>
        <w:gridCol w:w="1400"/>
        <w:gridCol w:w="1271"/>
        <w:gridCol w:w="1559"/>
        <w:gridCol w:w="1334"/>
      </w:tblGrid>
      <w:tr>
        <w:tblPrEx>
          <w:tblCellMar>
            <w:top w:w="0" w:type="dxa"/>
            <w:left w:w="108" w:type="dxa"/>
            <w:bottom w:w="0" w:type="dxa"/>
            <w:right w:w="108" w:type="dxa"/>
          </w:tblCellMar>
        </w:tblPrEx>
        <w:trPr>
          <w:trHeight w:val="558"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抗拉强度</w:t>
            </w:r>
          </w:p>
          <w:p>
            <w:pPr>
              <w:widowControl/>
              <w:jc w:val="center"/>
              <w:rPr>
                <w:rFonts w:ascii="宋体" w:hAnsi="宋体" w:cs="宋体"/>
                <w:kern w:val="0"/>
                <w:szCs w:val="21"/>
              </w:rPr>
            </w:pPr>
            <w:r>
              <w:rPr>
                <w:rFonts w:hint="eastAsia" w:ascii="宋体" w:hAnsi="宋体" w:cs="宋体"/>
                <w:kern w:val="0"/>
                <w:szCs w:val="21"/>
              </w:rPr>
              <w:t>(MPa)</w:t>
            </w:r>
          </w:p>
        </w:tc>
        <w:tc>
          <w:tcPr>
            <w:tcW w:w="140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屈服强度</w:t>
            </w:r>
          </w:p>
          <w:p>
            <w:pPr>
              <w:widowControl/>
              <w:jc w:val="center"/>
              <w:rPr>
                <w:rFonts w:ascii="宋体" w:hAnsi="宋体" w:cs="宋体"/>
                <w:kern w:val="0"/>
                <w:szCs w:val="21"/>
              </w:rPr>
            </w:pPr>
            <w:r>
              <w:rPr>
                <w:rFonts w:hint="eastAsia" w:ascii="宋体" w:hAnsi="宋体" w:cs="宋体"/>
                <w:kern w:val="0"/>
                <w:szCs w:val="21"/>
              </w:rPr>
              <w:t>(MPa)</w:t>
            </w:r>
          </w:p>
        </w:tc>
        <w:tc>
          <w:tcPr>
            <w:tcW w:w="1271"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延伸率</w:t>
            </w:r>
          </w:p>
          <w:p>
            <w:pPr>
              <w:widowControl/>
              <w:jc w:val="center"/>
              <w:rPr>
                <w:rFonts w:ascii="宋体" w:hAnsi="宋体" w:cs="宋体"/>
                <w:kern w:val="0"/>
                <w:szCs w:val="21"/>
              </w:rPr>
            </w:pPr>
            <w:r>
              <w:rPr>
                <w:rFonts w:hint="eastAsia" w:ascii="宋体" w:hAnsi="宋体" w:cs="宋体"/>
                <w:kern w:val="0"/>
                <w:szCs w:val="21"/>
              </w:rPr>
              <w:t>(%)</w:t>
            </w:r>
          </w:p>
        </w:tc>
        <w:tc>
          <w:tcPr>
            <w:tcW w:w="155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断面收缩率</w:t>
            </w:r>
          </w:p>
          <w:p>
            <w:pPr>
              <w:widowControl/>
              <w:jc w:val="center"/>
              <w:rPr>
                <w:rFonts w:ascii="宋体" w:hAnsi="宋体" w:cs="宋体"/>
                <w:kern w:val="0"/>
                <w:szCs w:val="21"/>
              </w:rPr>
            </w:pPr>
            <w:r>
              <w:rPr>
                <w:rFonts w:hint="eastAsia" w:ascii="宋体" w:hAnsi="宋体" w:cs="宋体"/>
                <w:kern w:val="0"/>
                <w:szCs w:val="21"/>
              </w:rPr>
              <w:t>(%)</w:t>
            </w:r>
          </w:p>
        </w:tc>
        <w:tc>
          <w:tcPr>
            <w:tcW w:w="133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硬度</w:t>
            </w:r>
          </w:p>
          <w:p>
            <w:pPr>
              <w:widowControl/>
              <w:jc w:val="center"/>
              <w:rPr>
                <w:rFonts w:ascii="宋体" w:hAnsi="宋体" w:cs="宋体"/>
                <w:kern w:val="0"/>
                <w:szCs w:val="21"/>
              </w:rPr>
            </w:pPr>
            <w:r>
              <w:rPr>
                <w:rFonts w:hint="eastAsia" w:ascii="宋体" w:hAnsi="宋体" w:cs="宋体"/>
                <w:kern w:val="0"/>
                <w:szCs w:val="21"/>
              </w:rPr>
              <w:t>(H</w:t>
            </w:r>
            <w:r>
              <w:rPr>
                <w:rFonts w:hint="eastAsia" w:ascii="宋体" w:hAnsi="宋体" w:cs="宋体"/>
                <w:kern w:val="0"/>
                <w:szCs w:val="21"/>
                <w:lang w:val="en-US" w:eastAsia="zh-CN"/>
              </w:rPr>
              <w:t>B</w:t>
            </w:r>
            <w:r>
              <w:rPr>
                <w:rFonts w:hint="eastAsia" w:ascii="宋体" w:hAnsi="宋体" w:cs="宋体"/>
                <w:kern w:val="0"/>
                <w:szCs w:val="21"/>
              </w:rPr>
              <w:t>)</w:t>
            </w:r>
          </w:p>
        </w:tc>
      </w:tr>
      <w:tr>
        <w:tblPrEx>
          <w:tblCellMar>
            <w:top w:w="0" w:type="dxa"/>
            <w:left w:w="108" w:type="dxa"/>
            <w:bottom w:w="0" w:type="dxa"/>
            <w:right w:w="108" w:type="dxa"/>
          </w:tblCellMar>
        </w:tblPrEx>
        <w:trPr>
          <w:trHeight w:val="198" w:hRule="atLeast"/>
          <w:jc w:val="center"/>
        </w:trPr>
        <w:tc>
          <w:tcPr>
            <w:tcW w:w="122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szCs w:val="21"/>
              </w:rPr>
              <w:t>≥</w:t>
            </w:r>
            <w:r>
              <w:rPr>
                <w:rFonts w:hint="eastAsia" w:ascii="宋体" w:hAnsi="宋体" w:cs="宋体"/>
                <w:kern w:val="0"/>
                <w:szCs w:val="21"/>
              </w:rPr>
              <w:t>720</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szCs w:val="21"/>
              </w:rPr>
              <w:t>≥</w:t>
            </w:r>
            <w:r>
              <w:rPr>
                <w:rFonts w:hint="eastAsia" w:ascii="宋体" w:hAnsi="宋体" w:cs="宋体"/>
                <w:kern w:val="0"/>
                <w:szCs w:val="21"/>
              </w:rPr>
              <w:t>525</w:t>
            </w:r>
          </w:p>
        </w:tc>
        <w:tc>
          <w:tcPr>
            <w:tcW w:w="1271"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szCs w:val="21"/>
              </w:rPr>
              <w:t>≥2</w:t>
            </w:r>
            <w:r>
              <w:rPr>
                <w:rFonts w:hint="eastAsia" w:ascii="宋体" w:hAnsi="宋体" w:cs="宋体"/>
                <w:kern w:val="0"/>
                <w:szCs w:val="21"/>
              </w:rPr>
              <w:t>0</w:t>
            </w:r>
          </w:p>
        </w:tc>
        <w:tc>
          <w:tcPr>
            <w:tcW w:w="155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szCs w:val="21"/>
              </w:rPr>
              <w:t>≥</w:t>
            </w:r>
            <w:r>
              <w:rPr>
                <w:rFonts w:hint="eastAsia" w:ascii="宋体" w:hAnsi="宋体" w:cs="宋体"/>
                <w:kern w:val="0"/>
                <w:szCs w:val="21"/>
              </w:rPr>
              <w:t>40</w:t>
            </w:r>
          </w:p>
        </w:tc>
        <w:tc>
          <w:tcPr>
            <w:tcW w:w="133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Cs w:val="21"/>
                <w:lang w:val="en-US" w:eastAsia="zh-CN"/>
              </w:rPr>
            </w:pPr>
            <w:r>
              <w:rPr>
                <w:rFonts w:hint="eastAsia" w:ascii="宋体" w:hAnsi="宋体"/>
                <w:szCs w:val="21"/>
              </w:rPr>
              <w:t>2</w:t>
            </w:r>
            <w:r>
              <w:rPr>
                <w:rFonts w:hint="eastAsia" w:ascii="宋体" w:hAnsi="宋体"/>
                <w:szCs w:val="21"/>
                <w:lang w:val="en-US" w:eastAsia="zh-CN"/>
              </w:rPr>
              <w:t>40</w:t>
            </w:r>
            <w:r>
              <w:rPr>
                <w:rFonts w:hint="eastAsia" w:ascii="宋体" w:hAnsi="宋体"/>
              </w:rPr>
              <w:t>～</w:t>
            </w:r>
            <w:r>
              <w:rPr>
                <w:rFonts w:hint="eastAsia" w:ascii="宋体" w:hAnsi="宋体"/>
                <w:lang w:val="en-US" w:eastAsia="zh-CN"/>
              </w:rPr>
              <w:t>290</w:t>
            </w:r>
          </w:p>
        </w:tc>
      </w:tr>
    </w:tbl>
    <w:p>
      <w:pPr>
        <w:pStyle w:val="11"/>
        <w:ind w:left="482" w:hanging="420" w:hangingChars="20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4.2.6 阀体材料材料需进行内部缺陷检验（磁粉探伤、超声波检验等）的，必须逐件进行内部缺陷检验。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.3 工艺装备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.3.1 生产过程采用信息化管理。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.3.2 关键零部件加工应采用数控机床等精密设备。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.3.3 装配工序采用模块化分步流水线方式。</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.4 检验检测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.4.1 应配备化学成分、力学性能、金相分析等检测设备。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.4.2 应配备渗透检测、磁粉探伤、超声波检验等无损检测设备。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.4.3 应具备密封、强度、循环寿命试验等检测设备。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.4.4 应具备压力试验、高温试验、等测试设备。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.4.5 应开展壳体试验、密封试验、气体密封试验、阀体标志检查等项目的检测。</w:t>
      </w:r>
    </w:p>
    <w:p>
      <w:pPr>
        <w:rPr>
          <w:rFonts w:ascii="黑体" w:hAnsi="宋体" w:eastAsia="黑体" w:cs="黑体"/>
          <w:color w:val="000000"/>
          <w:kern w:val="0"/>
          <w:sz w:val="21"/>
          <w:szCs w:val="21"/>
          <w:lang w:val="en-US" w:eastAsia="zh-CN" w:bidi="ar"/>
        </w:rPr>
      </w:pPr>
      <w:r>
        <w:rPr>
          <w:rFonts w:ascii="黑体" w:hAnsi="宋体" w:eastAsia="黑体" w:cs="黑体"/>
          <w:color w:val="000000"/>
          <w:kern w:val="0"/>
          <w:sz w:val="21"/>
          <w:szCs w:val="21"/>
          <w:lang w:val="en-US" w:eastAsia="zh-CN" w:bidi="ar"/>
        </w:rPr>
        <w:t>5 技术要求</w:t>
      </w:r>
    </w:p>
    <w:p>
      <w:pPr>
        <w:rPr>
          <w:rFonts w:hint="eastAsia" w:ascii="黑体" w:hAnsi="宋体" w:eastAsia="黑体" w:cs="黑体"/>
          <w:color w:val="000000"/>
          <w:kern w:val="0"/>
          <w:sz w:val="21"/>
          <w:szCs w:val="21"/>
          <w:lang w:val="en-US" w:eastAsia="zh-CN" w:bidi="ar"/>
        </w:rPr>
      </w:pPr>
      <w:r>
        <w:rPr>
          <w:rFonts w:hint="eastAsia" w:ascii="黑体" w:hAnsi="宋体" w:eastAsia="黑体" w:cs="黑体"/>
          <w:color w:val="000000"/>
          <w:kern w:val="0"/>
          <w:sz w:val="21"/>
          <w:szCs w:val="21"/>
          <w:lang w:val="en-US" w:eastAsia="zh-CN" w:bidi="ar"/>
        </w:rPr>
        <w:t>5.1 制造</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5.1.1</w:t>
      </w:r>
      <w:r>
        <w:rPr>
          <w:rFonts w:hint="eastAsia" w:ascii="宋体" w:hAnsi="宋体" w:eastAsia="宋体" w:cs="宋体"/>
          <w:color w:val="000000"/>
          <w:kern w:val="0"/>
          <w:sz w:val="21"/>
          <w:szCs w:val="21"/>
          <w:lang w:val="en-US" w:eastAsia="zh-CN" w:bidi="ar"/>
        </w:rPr>
        <w:t>连接端接口尺寸、工作压力等要求</w:t>
      </w:r>
    </w:p>
    <w:p>
      <w:pPr>
        <w:keepNext w:val="0"/>
        <w:keepLines w:val="0"/>
        <w:widowControl/>
        <w:suppressLineNumbers w:val="0"/>
        <w:ind w:firstLine="210" w:firstLineChars="1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主要参数： </w:t>
      </w:r>
    </w:p>
    <w:tbl>
      <w:tblPr>
        <w:tblStyle w:val="16"/>
        <w:tblpPr w:leftFromText="180" w:rightFromText="180" w:vertAnchor="text" w:horzAnchor="page" w:tblpX="2009" w:tblpY="89"/>
        <w:tblOverlap w:val="never"/>
        <w:tblW w:w="3377"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05"/>
        <w:gridCol w:w="857"/>
        <w:gridCol w:w="171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3" w:hRule="atLeast"/>
        </w:trPr>
        <w:tc>
          <w:tcPr>
            <w:tcW w:w="805" w:type="dxa"/>
            <w:tcBorders>
              <w:left w:val="nil"/>
            </w:tcBorders>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Tube</w:t>
            </w:r>
            <w:r>
              <w:rPr>
                <w:rFonts w:hint="eastAsia" w:ascii="黑体" w:hAnsi="黑体" w:eastAsia="黑体" w:cs="黑体"/>
                <w:color w:val="231F20"/>
                <w:spacing w:val="-3"/>
                <w:sz w:val="21"/>
                <w:szCs w:val="21"/>
                <w:lang w:val="en-US" w:eastAsia="zh-CN"/>
              </w:rPr>
              <w:t xml:space="preserve"> </w:t>
            </w:r>
            <w:r>
              <w:rPr>
                <w:rFonts w:ascii="黑体" w:hAnsi="黑体" w:eastAsia="黑体" w:cs="黑体"/>
                <w:color w:val="231F20"/>
                <w:spacing w:val="-3"/>
                <w:sz w:val="21"/>
                <w:szCs w:val="21"/>
              </w:rPr>
              <w:t>管外径in.</w:t>
            </w:r>
          </w:p>
        </w:tc>
        <w:tc>
          <w:tcPr>
            <w:tcW w:w="857" w:type="dxa"/>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2"/>
                <w:sz w:val="21"/>
                <w:szCs w:val="21"/>
              </w:rPr>
              <w:t>接口尺寸</w:t>
            </w:r>
            <w:r>
              <w:rPr>
                <w:rFonts w:hint="eastAsia" w:ascii="黑体" w:hAnsi="黑体" w:eastAsia="黑体" w:cs="黑体"/>
                <w:color w:val="231F20"/>
                <w:spacing w:val="-2"/>
                <w:sz w:val="21"/>
                <w:szCs w:val="21"/>
                <w:lang w:val="en-US" w:eastAsia="zh-CN"/>
              </w:rPr>
              <w:t>代号</w:t>
            </w:r>
          </w:p>
        </w:tc>
        <w:tc>
          <w:tcPr>
            <w:tcW w:w="1715" w:type="dxa"/>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工作压力</w:t>
            </w:r>
            <w:r>
              <w:rPr>
                <w:rFonts w:ascii="黑体" w:hAnsi="黑体" w:eastAsia="黑体" w:cs="黑体"/>
                <w:color w:val="231F20"/>
                <w:spacing w:val="-3"/>
                <w:sz w:val="21"/>
                <w:szCs w:val="21"/>
              </w:rPr>
              <w:br w:type="textWrapping"/>
            </w:r>
            <w:r>
              <w:rPr>
                <w:rFonts w:ascii="黑体" w:hAnsi="黑体" w:eastAsia="黑体" w:cs="黑体"/>
                <w:color w:val="231F20"/>
                <w:spacing w:val="-3"/>
                <w:sz w:val="21"/>
                <w:szCs w:val="21"/>
              </w:rPr>
              <w:t>psig (</w:t>
            </w:r>
            <w:r>
              <w:rPr>
                <w:rFonts w:hint="eastAsia" w:ascii="宋体" w:hAnsi="宋体" w:eastAsia="宋体" w:cs="宋体"/>
                <w:i w:val="0"/>
                <w:iCs w:val="0"/>
                <w:color w:val="000000"/>
                <w:kern w:val="0"/>
                <w:sz w:val="22"/>
                <w:szCs w:val="22"/>
                <w:u w:val="none"/>
                <w:lang w:val="en-US" w:eastAsia="zh-CN" w:bidi="ar"/>
              </w:rPr>
              <w:t>MPa</w:t>
            </w:r>
            <w:r>
              <w:rPr>
                <w:rFonts w:ascii="黑体" w:hAnsi="黑体" w:eastAsia="黑体" w:cs="黑体"/>
                <w:color w:val="231F20"/>
                <w:spacing w:val="-3"/>
                <w:sz w:val="21"/>
                <w:szCs w:val="21"/>
              </w:rPr>
              <w:t>)</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23" w:hRule="atLeast"/>
        </w:trPr>
        <w:tc>
          <w:tcPr>
            <w:tcW w:w="805" w:type="dxa"/>
            <w:tcBorders>
              <w:left w:val="nil"/>
            </w:tcBorders>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1/4</w:t>
            </w:r>
          </w:p>
        </w:tc>
        <w:tc>
          <w:tcPr>
            <w:tcW w:w="857" w:type="dxa"/>
            <w:vAlign w:val="top"/>
          </w:tcPr>
          <w:p>
            <w:pPr>
              <w:spacing w:before="119" w:line="180" w:lineRule="auto"/>
              <w:jc w:val="center"/>
              <w:rPr>
                <w:rFonts w:ascii="黑体" w:hAnsi="黑体" w:eastAsia="黑体" w:cs="黑体"/>
                <w:color w:val="231F20"/>
                <w:spacing w:val="-3"/>
                <w:sz w:val="21"/>
                <w:szCs w:val="21"/>
              </w:rPr>
            </w:pPr>
            <w:r>
              <w:rPr>
                <w:rFonts w:hint="eastAsia" w:ascii="黑体" w:hAnsi="黑体" w:eastAsia="黑体" w:cs="黑体"/>
                <w:color w:val="231F20"/>
                <w:spacing w:val="-3"/>
                <w:sz w:val="21"/>
                <w:szCs w:val="21"/>
                <w:lang w:val="en-US" w:eastAsia="zh-CN"/>
              </w:rPr>
              <w:t>60S</w:t>
            </w:r>
            <w:r>
              <w:rPr>
                <w:rFonts w:ascii="黑体" w:hAnsi="黑体" w:eastAsia="黑体" w:cs="黑体"/>
                <w:color w:val="231F20"/>
                <w:spacing w:val="-3"/>
                <w:sz w:val="21"/>
                <w:szCs w:val="21"/>
              </w:rPr>
              <w:t>4</w:t>
            </w:r>
          </w:p>
        </w:tc>
        <w:tc>
          <w:tcPr>
            <w:tcW w:w="1715" w:type="dxa"/>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30,000 (206</w:t>
            </w:r>
            <w:r>
              <w:rPr>
                <w:rFonts w:hint="eastAsia" w:ascii="黑体" w:hAnsi="黑体" w:eastAsia="黑体" w:cs="黑体"/>
                <w:color w:val="231F20"/>
                <w:spacing w:val="-3"/>
                <w:sz w:val="21"/>
                <w:szCs w:val="21"/>
                <w:lang w:val="en-US" w:eastAsia="zh-CN"/>
              </w:rPr>
              <w:t>.</w:t>
            </w:r>
            <w:r>
              <w:rPr>
                <w:rFonts w:ascii="黑体" w:hAnsi="黑体" w:eastAsia="黑体" w:cs="黑体"/>
                <w:color w:val="231F20"/>
                <w:spacing w:val="-3"/>
                <w:sz w:val="21"/>
                <w:szCs w:val="21"/>
              </w:rPr>
              <w:t>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38" w:hRule="atLeast"/>
        </w:trPr>
        <w:tc>
          <w:tcPr>
            <w:tcW w:w="805" w:type="dxa"/>
            <w:tcBorders>
              <w:left w:val="nil"/>
            </w:tcBorders>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3/8</w:t>
            </w:r>
          </w:p>
        </w:tc>
        <w:tc>
          <w:tcPr>
            <w:tcW w:w="857" w:type="dxa"/>
            <w:vAlign w:val="top"/>
          </w:tcPr>
          <w:p>
            <w:pPr>
              <w:spacing w:before="119" w:line="180" w:lineRule="auto"/>
              <w:jc w:val="center"/>
              <w:rPr>
                <w:rFonts w:hint="eastAsia" w:ascii="黑体" w:hAnsi="黑体" w:eastAsia="黑体" w:cs="黑体"/>
                <w:color w:val="231F20"/>
                <w:spacing w:val="-3"/>
                <w:sz w:val="21"/>
                <w:szCs w:val="21"/>
                <w:lang w:eastAsia="zh-CN"/>
              </w:rPr>
            </w:pPr>
            <w:r>
              <w:rPr>
                <w:rFonts w:hint="eastAsia" w:ascii="黑体" w:hAnsi="黑体" w:eastAsia="黑体" w:cs="黑体"/>
                <w:color w:val="231F20"/>
                <w:spacing w:val="-3"/>
                <w:sz w:val="21"/>
                <w:szCs w:val="21"/>
                <w:lang w:val="en-US" w:eastAsia="zh-CN"/>
              </w:rPr>
              <w:t>60S6</w:t>
            </w:r>
          </w:p>
        </w:tc>
        <w:tc>
          <w:tcPr>
            <w:tcW w:w="1715" w:type="dxa"/>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30,000 (206</w:t>
            </w:r>
            <w:r>
              <w:rPr>
                <w:rFonts w:hint="eastAsia" w:ascii="黑体" w:hAnsi="黑体" w:eastAsia="黑体" w:cs="黑体"/>
                <w:color w:val="231F20"/>
                <w:spacing w:val="-3"/>
                <w:sz w:val="21"/>
                <w:szCs w:val="21"/>
                <w:lang w:val="en-US" w:eastAsia="zh-CN"/>
              </w:rPr>
              <w:t>.</w:t>
            </w:r>
            <w:r>
              <w:rPr>
                <w:rFonts w:ascii="黑体" w:hAnsi="黑体" w:eastAsia="黑体" w:cs="黑体"/>
                <w:color w:val="231F20"/>
                <w:spacing w:val="-3"/>
                <w:sz w:val="21"/>
                <w:szCs w:val="21"/>
              </w:rPr>
              <w:t>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2" w:hRule="atLeast"/>
        </w:trPr>
        <w:tc>
          <w:tcPr>
            <w:tcW w:w="805" w:type="dxa"/>
            <w:tcBorders>
              <w:left w:val="nil"/>
            </w:tcBorders>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9/16</w:t>
            </w:r>
          </w:p>
        </w:tc>
        <w:tc>
          <w:tcPr>
            <w:tcW w:w="857" w:type="dxa"/>
            <w:vAlign w:val="top"/>
          </w:tcPr>
          <w:p>
            <w:pPr>
              <w:spacing w:before="119" w:line="180" w:lineRule="auto"/>
              <w:jc w:val="center"/>
              <w:rPr>
                <w:rFonts w:hint="default" w:ascii="黑体" w:hAnsi="黑体" w:eastAsia="黑体" w:cs="黑体"/>
                <w:color w:val="231F20"/>
                <w:spacing w:val="-3"/>
                <w:sz w:val="21"/>
                <w:szCs w:val="21"/>
                <w:lang w:val="en-US" w:eastAsia="zh-CN"/>
              </w:rPr>
            </w:pPr>
            <w:r>
              <w:rPr>
                <w:rFonts w:hint="eastAsia" w:ascii="黑体" w:hAnsi="黑体" w:eastAsia="黑体" w:cs="黑体"/>
                <w:color w:val="231F20"/>
                <w:spacing w:val="-3"/>
                <w:sz w:val="21"/>
                <w:szCs w:val="21"/>
                <w:lang w:val="en-US" w:eastAsia="zh-CN"/>
              </w:rPr>
              <w:t>60S9</w:t>
            </w:r>
          </w:p>
        </w:tc>
        <w:tc>
          <w:tcPr>
            <w:tcW w:w="1715" w:type="dxa"/>
            <w:vAlign w:val="top"/>
          </w:tcPr>
          <w:p>
            <w:pPr>
              <w:spacing w:before="119" w:line="180" w:lineRule="auto"/>
              <w:jc w:val="center"/>
              <w:rPr>
                <w:rFonts w:ascii="黑体" w:hAnsi="黑体" w:eastAsia="黑体" w:cs="黑体"/>
                <w:color w:val="231F20"/>
                <w:spacing w:val="-3"/>
                <w:sz w:val="21"/>
                <w:szCs w:val="21"/>
              </w:rPr>
            </w:pPr>
            <w:r>
              <w:rPr>
                <w:rFonts w:ascii="黑体" w:hAnsi="黑体" w:eastAsia="黑体" w:cs="黑体"/>
                <w:color w:val="231F20"/>
                <w:spacing w:val="-3"/>
                <w:sz w:val="21"/>
                <w:szCs w:val="21"/>
              </w:rPr>
              <w:t>30,000 (206</w:t>
            </w:r>
            <w:r>
              <w:rPr>
                <w:rFonts w:hint="eastAsia" w:ascii="黑体" w:hAnsi="黑体" w:eastAsia="黑体" w:cs="黑体"/>
                <w:color w:val="231F20"/>
                <w:spacing w:val="-3"/>
                <w:sz w:val="21"/>
                <w:szCs w:val="21"/>
                <w:lang w:val="en-US" w:eastAsia="zh-CN"/>
              </w:rPr>
              <w:t>.</w:t>
            </w:r>
            <w:r>
              <w:rPr>
                <w:rFonts w:ascii="黑体" w:hAnsi="黑体" w:eastAsia="黑体" w:cs="黑体"/>
                <w:color w:val="231F20"/>
                <w:spacing w:val="-3"/>
                <w:sz w:val="21"/>
                <w:szCs w:val="21"/>
              </w:rPr>
              <w:t>8)</w:t>
            </w:r>
          </w:p>
        </w:tc>
      </w:tr>
    </w:tbl>
    <w:p>
      <w:pPr>
        <w:rPr>
          <w:rFonts w:hint="eastAsia" w:ascii="宋体" w:hAnsi="宋体" w:eastAsia="宋体" w:cs="宋体"/>
          <w:color w:val="000000"/>
          <w:kern w:val="0"/>
          <w:sz w:val="21"/>
          <w:szCs w:val="21"/>
          <w:lang w:val="en-US" w:eastAsia="zh-CN" w:bidi="ar"/>
        </w:rPr>
      </w:pPr>
    </w:p>
    <w:p>
      <w:pPr>
        <w:rPr>
          <w:rFonts w:hint="eastAsia" w:ascii="宋体" w:hAnsi="宋体" w:eastAsia="宋体" w:cs="宋体"/>
          <w:color w:val="000000"/>
          <w:kern w:val="0"/>
          <w:sz w:val="21"/>
          <w:szCs w:val="21"/>
          <w:lang w:val="en-US" w:eastAsia="zh-CN" w:bidi="ar"/>
        </w:rPr>
      </w:pPr>
    </w:p>
    <w:p>
      <w:pPr>
        <w:rPr>
          <w:rFonts w:hint="eastAsia" w:ascii="宋体" w:hAnsi="宋体"/>
          <w:sz w:val="24"/>
        </w:rPr>
      </w:pPr>
    </w:p>
    <w:p>
      <w:pPr>
        <w:rPr>
          <w:rFonts w:hint="eastAsia" w:ascii="宋体" w:hAnsi="宋体"/>
          <w:sz w:val="24"/>
        </w:rPr>
      </w:pPr>
    </w:p>
    <w:p>
      <w:pPr>
        <w:rPr>
          <w:rFonts w:hint="eastAsia" w:ascii="宋体" w:hAnsi="宋体"/>
          <w:sz w:val="24"/>
        </w:rPr>
      </w:pPr>
    </w:p>
    <w:p>
      <w:pPr>
        <w:ind w:firstLine="210" w:firstLineChars="100"/>
        <w:rPr>
          <w:rFonts w:hint="eastAsia" w:ascii="黑体" w:hAnsi="宋体" w:eastAsia="黑体" w:cs="黑体"/>
          <w:color w:val="000000"/>
          <w:kern w:val="0"/>
          <w:sz w:val="21"/>
          <w:szCs w:val="21"/>
          <w:lang w:val="en-US" w:eastAsia="zh-CN" w:bidi="ar"/>
        </w:rPr>
      </w:pPr>
    </w:p>
    <w:p>
      <w:pPr>
        <w:rPr>
          <w:rFonts w:hint="eastAsia" w:ascii="宋体" w:hAnsi="宋体"/>
          <w:sz w:val="24"/>
        </w:rPr>
      </w:pPr>
    </w:p>
    <w:p>
      <w:pPr>
        <w:rPr>
          <w:rFonts w:hint="eastAsia" w:ascii="宋体" w:hAnsi="宋体" w:eastAsia="宋体" w:cs="宋体"/>
          <w:color w:val="000000"/>
          <w:kern w:val="0"/>
          <w:sz w:val="21"/>
          <w:szCs w:val="21"/>
          <w:lang w:val="en-US" w:eastAsia="zh-CN" w:bidi="ar"/>
        </w:rPr>
      </w:pPr>
    </w:p>
    <w:p>
      <w:pPr>
        <w:rPr>
          <w:rFonts w:hint="default" w:ascii="宋体" w:hAnsi="宋体"/>
          <w:sz w:val="24"/>
          <w:lang w:val="en-US"/>
        </w:rPr>
      </w:pPr>
      <w:r>
        <w:rPr>
          <w:rFonts w:hint="eastAsia" w:ascii="宋体" w:hAnsi="宋体" w:eastAsia="宋体" w:cs="宋体"/>
          <w:color w:val="000000"/>
          <w:kern w:val="0"/>
          <w:sz w:val="21"/>
          <w:szCs w:val="21"/>
          <w:lang w:val="en-US" w:eastAsia="zh-CN" w:bidi="ar"/>
        </w:rPr>
        <w:t>连接端接口</w:t>
      </w:r>
      <w:r>
        <w:rPr>
          <w:rFonts w:hint="eastAsia" w:ascii="宋体" w:hAnsi="宋体" w:cs="宋体"/>
          <w:color w:val="000000"/>
          <w:kern w:val="0"/>
          <w:sz w:val="21"/>
          <w:szCs w:val="21"/>
          <w:lang w:val="en-US" w:eastAsia="zh-CN" w:bidi="ar"/>
        </w:rPr>
        <w:t>装配尺寸</w:t>
      </w:r>
    </w:p>
    <w:p>
      <w:r>
        <w:drawing>
          <wp:inline distT="0" distB="0" distL="114300" distR="114300">
            <wp:extent cx="3929380" cy="1489710"/>
            <wp:effectExtent l="0" t="0" r="13970" b="15240"/>
            <wp:docPr id="1048" name="图片 7" descr="83CN5O}%{O{T17V5@M23J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7" descr="83CN5O}%{O{T17V5@M23JSR"/>
                    <pic:cNvPicPr>
                      <a:picLocks noChangeAspect="1"/>
                    </pic:cNvPicPr>
                  </pic:nvPicPr>
                  <pic:blipFill>
                    <a:blip r:embed="rId12"/>
                    <a:stretch>
                      <a:fillRect/>
                    </a:stretch>
                  </pic:blipFill>
                  <pic:spPr>
                    <a:xfrm>
                      <a:off x="0" y="0"/>
                      <a:ext cx="3929380" cy="1489710"/>
                    </a:xfrm>
                    <a:prstGeom prst="rect">
                      <a:avLst/>
                    </a:prstGeom>
                    <a:noFill/>
                    <a:ln w="9525">
                      <a:noFill/>
                    </a:ln>
                  </pic:spPr>
                </pic:pic>
              </a:graphicData>
            </a:graphic>
          </wp:inline>
        </w:drawing>
      </w:r>
    </w:p>
    <w:p>
      <w:pPr>
        <w:rPr>
          <w:rFonts w:hint="eastAsia" w:ascii="宋体" w:hAnsi="宋体"/>
          <w:sz w:val="24"/>
        </w:rPr>
      </w:pPr>
      <w:r>
        <w:rPr>
          <w:rFonts w:hint="eastAsia" w:ascii="宋体" w:hAnsi="宋体" w:eastAsia="宋体" w:cs="宋体"/>
          <w:color w:val="000000"/>
          <w:kern w:val="0"/>
          <w:sz w:val="21"/>
          <w:szCs w:val="21"/>
          <w:lang w:val="en-US" w:eastAsia="zh-CN" w:bidi="ar"/>
        </w:rPr>
        <w:t>连接端接口尺寸</w:t>
      </w:r>
    </w:p>
    <w:p>
      <w:pPr>
        <w:rPr>
          <w:rFonts w:hint="eastAsia"/>
        </w:rPr>
      </w:pPr>
    </w:p>
    <w:p>
      <w:pPr>
        <w:keepNext w:val="0"/>
        <w:keepLines w:val="0"/>
        <w:widowControl/>
        <w:suppressLineNumbers w:val="0"/>
        <w:jc w:val="left"/>
      </w:pPr>
      <w:r>
        <w:drawing>
          <wp:inline distT="0" distB="0" distL="114300" distR="114300">
            <wp:extent cx="5596890" cy="1722755"/>
            <wp:effectExtent l="0" t="0" r="3810" b="10795"/>
            <wp:docPr id="1046" name="图片 4" descr="接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4" descr="接头"/>
                    <pic:cNvPicPr>
                      <a:picLocks noChangeAspect="1"/>
                    </pic:cNvPicPr>
                  </pic:nvPicPr>
                  <pic:blipFill>
                    <a:blip r:embed="rId13"/>
                    <a:srcRect t="5777" b="8562"/>
                    <a:stretch>
                      <a:fillRect/>
                    </a:stretch>
                  </pic:blipFill>
                  <pic:spPr>
                    <a:xfrm>
                      <a:off x="0" y="0"/>
                      <a:ext cx="5596890" cy="172275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rPr>
          <w:rFonts w:hint="eastAsia" w:ascii="宋体" w:hAnsi="宋体" w:cs="宋体"/>
          <w:color w:val="000000"/>
          <w:kern w:val="0"/>
          <w:sz w:val="21"/>
          <w:szCs w:val="21"/>
          <w:lang w:val="en-US" w:eastAsia="zh-CN" w:bidi="ar"/>
        </w:rPr>
      </w:pPr>
    </w:p>
    <w:p>
      <w:pPr>
        <w:keepNext w:val="0"/>
        <w:keepLines w:val="0"/>
        <w:widowControl/>
        <w:suppressLineNumbers w:val="0"/>
        <w:jc w:val="left"/>
      </w:pPr>
      <w:r>
        <w:rPr>
          <w:rFonts w:hint="eastAsia" w:ascii="宋体" w:hAnsi="宋体" w:cs="宋体"/>
          <w:color w:val="000000"/>
          <w:kern w:val="0"/>
          <w:sz w:val="21"/>
          <w:szCs w:val="21"/>
          <w:lang w:val="en-US" w:eastAsia="zh-CN" w:bidi="ar"/>
        </w:rPr>
        <w:t>压盖</w:t>
      </w:r>
    </w:p>
    <w:p>
      <w:pPr>
        <w:keepNext w:val="0"/>
        <w:keepLines w:val="0"/>
        <w:widowControl/>
        <w:suppressLineNumbers w:val="0"/>
        <w:jc w:val="left"/>
      </w:pPr>
      <w:r>
        <w:drawing>
          <wp:inline distT="0" distB="0" distL="114300" distR="114300">
            <wp:extent cx="5480685" cy="1532890"/>
            <wp:effectExtent l="0" t="0" r="5715" b="10160"/>
            <wp:docPr id="1044" name="图片 1" descr="压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 descr="压盖"/>
                    <pic:cNvPicPr>
                      <a:picLocks noChangeAspect="1"/>
                    </pic:cNvPicPr>
                  </pic:nvPicPr>
                  <pic:blipFill>
                    <a:blip r:embed="rId14"/>
                    <a:srcRect t="14245"/>
                    <a:stretch>
                      <a:fillRect/>
                    </a:stretch>
                  </pic:blipFill>
                  <pic:spPr>
                    <a:xfrm>
                      <a:off x="0" y="0"/>
                      <a:ext cx="5480685" cy="153289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rFonts w:hint="eastAsia" w:ascii="宋体" w:hAnsi="宋体" w:cs="宋体"/>
          <w:color w:val="000000"/>
          <w:kern w:val="0"/>
          <w:sz w:val="21"/>
          <w:szCs w:val="21"/>
          <w:lang w:val="en-US" w:eastAsia="zh-CN" w:bidi="ar"/>
        </w:rPr>
        <w:t>轴环</w:t>
      </w:r>
    </w:p>
    <w:p>
      <w:pPr>
        <w:keepNext w:val="0"/>
        <w:keepLines w:val="0"/>
        <w:widowControl/>
        <w:suppressLineNumbers w:val="0"/>
        <w:jc w:val="left"/>
      </w:pPr>
      <w:r>
        <w:drawing>
          <wp:inline distT="0" distB="0" distL="114300" distR="114300">
            <wp:extent cx="5481955" cy="1471295"/>
            <wp:effectExtent l="0" t="0" r="0" b="0"/>
            <wp:docPr id="1045" name="图片 2" descr="轴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2" descr="轴环"/>
                    <pic:cNvPicPr>
                      <a:picLocks noChangeAspect="1"/>
                    </pic:cNvPicPr>
                  </pic:nvPicPr>
                  <pic:blipFill>
                    <a:blip r:embed="rId15"/>
                    <a:srcRect t="9315"/>
                    <a:stretch>
                      <a:fillRect/>
                    </a:stretch>
                  </pic:blipFill>
                  <pic:spPr>
                    <a:xfrm>
                      <a:off x="0" y="0"/>
                      <a:ext cx="5481955" cy="1471295"/>
                    </a:xfrm>
                    <a:prstGeom prst="rect">
                      <a:avLst/>
                    </a:prstGeom>
                    <a:noFill/>
                    <a:ln w="9525">
                      <a:noFill/>
                    </a:ln>
                  </pic:spPr>
                </pic:pic>
              </a:graphicData>
            </a:graphic>
          </wp:inline>
        </w:drawing>
      </w:r>
    </w:p>
    <w:p>
      <w:pPr>
        <w:keepNext w:val="0"/>
        <w:keepLines w:val="0"/>
        <w:widowControl/>
        <w:suppressLineNumbers w:val="0"/>
        <w:jc w:val="left"/>
      </w:pPr>
    </w:p>
    <w:p>
      <w:pPr>
        <w:rPr>
          <w:rFonts w:hint="eastAsia" w:eastAsia="宋体"/>
          <w:lang w:val="en-US" w:eastAsia="zh-CN"/>
        </w:rPr>
      </w:pPr>
      <w:r>
        <w:rPr>
          <w:rFonts w:hint="eastAsia"/>
          <w:lang w:val="en-US" w:eastAsia="zh-CN"/>
        </w:rPr>
        <w:t>管</w:t>
      </w:r>
      <w:r>
        <w:rPr>
          <w:rFonts w:hint="eastAsia" w:ascii="宋体" w:hAnsi="宋体" w:eastAsia="宋体" w:cs="宋体"/>
          <w:color w:val="000000"/>
          <w:kern w:val="0"/>
          <w:sz w:val="21"/>
          <w:szCs w:val="21"/>
          <w:lang w:val="en-US" w:eastAsia="zh-CN" w:bidi="ar"/>
        </w:rPr>
        <w:t>端尺寸</w:t>
      </w:r>
    </w:p>
    <w:p>
      <w:pPr>
        <w:keepNext w:val="0"/>
        <w:keepLines w:val="0"/>
        <w:widowControl/>
        <w:suppressLineNumbers w:val="0"/>
        <w:jc w:val="left"/>
        <w:rPr>
          <w:lang w:val="en-US" w:eastAsia="zh-CN"/>
        </w:rPr>
      </w:pPr>
      <w:r>
        <w:drawing>
          <wp:inline distT="0" distB="0" distL="114300" distR="114300">
            <wp:extent cx="5480050" cy="1391920"/>
            <wp:effectExtent l="0" t="0" r="0" b="0"/>
            <wp:docPr id="1047" name="图片 5" descr="高压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5" descr="高压管"/>
                    <pic:cNvPicPr>
                      <a:picLocks noChangeAspect="1"/>
                    </pic:cNvPicPr>
                  </pic:nvPicPr>
                  <pic:blipFill>
                    <a:blip r:embed="rId16"/>
                    <a:srcRect t="14841"/>
                    <a:stretch>
                      <a:fillRect/>
                    </a:stretch>
                  </pic:blipFill>
                  <pic:spPr>
                    <a:xfrm>
                      <a:off x="0" y="0"/>
                      <a:ext cx="5480050" cy="1391920"/>
                    </a:xfrm>
                    <a:prstGeom prst="rect">
                      <a:avLst/>
                    </a:prstGeom>
                    <a:noFill/>
                    <a:ln w="9525">
                      <a:noFill/>
                    </a:ln>
                  </pic:spPr>
                </pic:pic>
              </a:graphicData>
            </a:graphic>
          </wp:inline>
        </w:drawing>
      </w:r>
    </w:p>
    <w:p>
      <w:pPr>
        <w:keepNext w:val="0"/>
        <w:keepLines w:val="0"/>
        <w:widowControl/>
        <w:suppressLineNumbers w:val="0"/>
        <w:jc w:val="left"/>
      </w:pPr>
      <w:r>
        <w:rPr>
          <w:rFonts w:ascii="黑体" w:hAnsi="宋体" w:eastAsia="黑体" w:cs="黑体"/>
          <w:color w:val="000000"/>
          <w:kern w:val="0"/>
          <w:sz w:val="21"/>
          <w:szCs w:val="21"/>
          <w:lang w:val="en-US" w:eastAsia="zh-CN" w:bidi="ar"/>
        </w:rPr>
        <w:t>5.1.</w:t>
      </w:r>
      <w:r>
        <w:rPr>
          <w:rFonts w:hint="eastAsia" w:ascii="黑体" w:hAnsi="宋体" w:eastAsia="黑体" w:cs="黑体"/>
          <w:color w:val="000000"/>
          <w:kern w:val="0"/>
          <w:sz w:val="21"/>
          <w:szCs w:val="21"/>
          <w:lang w:val="en-US" w:eastAsia="zh-CN" w:bidi="ar"/>
        </w:rPr>
        <w:t>2</w:t>
      </w:r>
      <w:r>
        <w:rPr>
          <w:rFonts w:ascii="黑体" w:hAnsi="宋体" w:eastAsia="黑体" w:cs="黑体"/>
          <w:color w:val="000000"/>
          <w:kern w:val="0"/>
          <w:sz w:val="21"/>
          <w:szCs w:val="21"/>
          <w:lang w:val="en-US" w:eastAsia="zh-CN" w:bidi="ar"/>
        </w:rPr>
        <w:t xml:space="preserve"> 结构长度 </w:t>
      </w:r>
    </w:p>
    <w:p>
      <w:r>
        <w:rPr>
          <w:rFonts w:ascii="黑体" w:hAnsi="宋体" w:eastAsia="黑体" w:cs="黑体"/>
          <w:color w:val="000000"/>
          <w:kern w:val="0"/>
          <w:sz w:val="21"/>
          <w:szCs w:val="21"/>
          <w:lang w:val="en-US" w:eastAsia="zh-CN" w:bidi="ar"/>
        </w:rPr>
        <w:t>5.1.</w:t>
      </w:r>
      <w:r>
        <w:rPr>
          <w:rFonts w:hint="eastAsia" w:ascii="黑体" w:hAnsi="宋体" w:eastAsia="黑体" w:cs="黑体"/>
          <w:color w:val="000000"/>
          <w:kern w:val="0"/>
          <w:sz w:val="21"/>
          <w:szCs w:val="21"/>
          <w:lang w:val="en-US" w:eastAsia="zh-CN" w:bidi="ar"/>
        </w:rPr>
        <w:t xml:space="preserve">2.1  </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的结构长度如图</w:t>
      </w:r>
      <w:r>
        <w:rPr>
          <w:rFonts w:hint="eastAsia" w:ascii="宋体" w:hAnsi="宋体" w:cs="宋体"/>
          <w:color w:val="000000"/>
          <w:kern w:val="0"/>
          <w:sz w:val="21"/>
          <w:szCs w:val="21"/>
          <w:lang w:val="en-US" w:eastAsia="zh-CN" w:bidi="ar"/>
        </w:rPr>
        <w:t>7-8</w:t>
      </w:r>
      <w:r>
        <w:rPr>
          <w:rFonts w:hint="eastAsia" w:ascii="宋体" w:hAnsi="宋体" w:eastAsia="宋体" w:cs="宋体"/>
          <w:color w:val="000000"/>
          <w:kern w:val="0"/>
          <w:sz w:val="21"/>
          <w:szCs w:val="21"/>
          <w:lang w:val="en-US" w:eastAsia="zh-CN" w:bidi="ar"/>
        </w:rPr>
        <w:t>所示，其尺寸按</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的规定，结构长度的公差按GB/T 12221的规定。</w:t>
      </w:r>
    </w:p>
    <w:p>
      <w:pPr>
        <w:keepNext w:val="0"/>
        <w:keepLines w:val="0"/>
        <w:widowControl/>
        <w:suppressLineNumbers w:val="0"/>
        <w:ind w:firstLine="3360" w:firstLineChars="1600"/>
        <w:jc w:val="left"/>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7</w:t>
      </w:r>
    </w:p>
    <w:p>
      <w:pPr>
        <w:keepNext w:val="0"/>
        <w:keepLines w:val="0"/>
        <w:widowControl/>
        <w:suppressLineNumbers w:val="0"/>
        <w:jc w:val="left"/>
      </w:pPr>
      <w:r>
        <w:drawing>
          <wp:inline distT="0" distB="0" distL="114300" distR="114300">
            <wp:extent cx="5829300" cy="2925445"/>
            <wp:effectExtent l="0" t="0" r="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829300" cy="292544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rPr>
          <w:rFonts w:hint="eastAsia" w:ascii="宋体" w:hAnsi="宋体"/>
          <w:sz w:val="24"/>
        </w:rPr>
      </w:pPr>
      <w:r>
        <w:rPr>
          <w:rFonts w:hint="eastAsia" w:ascii="宋体" w:hAnsi="宋体" w:cs="宋体"/>
          <w:color w:val="000000"/>
          <w:kern w:val="0"/>
          <w:sz w:val="21"/>
          <w:szCs w:val="21"/>
          <w:lang w:val="en-US" w:eastAsia="zh-CN" w:bidi="ar"/>
        </w:rPr>
        <w:t>超高压针形阀直通型</w:t>
      </w:r>
    </w:p>
    <w:tbl>
      <w:tblPr>
        <w:tblStyle w:val="16"/>
        <w:tblpPr w:leftFromText="180" w:rightFromText="180" w:vertAnchor="text" w:horzAnchor="page" w:tblpX="1696" w:tblpY="53"/>
        <w:tblOverlap w:val="never"/>
        <w:tblW w:w="9186" w:type="dxa"/>
        <w:tblInd w:w="-49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34"/>
        <w:gridCol w:w="592"/>
        <w:gridCol w:w="663"/>
        <w:gridCol w:w="473"/>
        <w:gridCol w:w="498"/>
        <w:gridCol w:w="513"/>
        <w:gridCol w:w="513"/>
        <w:gridCol w:w="474"/>
        <w:gridCol w:w="529"/>
        <w:gridCol w:w="481"/>
        <w:gridCol w:w="514"/>
        <w:gridCol w:w="465"/>
        <w:gridCol w:w="553"/>
        <w:gridCol w:w="497"/>
        <w:gridCol w:w="474"/>
        <w:gridCol w:w="81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9" w:hRule="exact"/>
        </w:trPr>
        <w:tc>
          <w:tcPr>
            <w:tcW w:w="1134" w:type="dxa"/>
            <w:vMerge w:val="restart"/>
            <w:tcBorders>
              <w:left w:val="nil"/>
              <w:bottom w:val="nil"/>
            </w:tcBorders>
            <w:vAlign w:val="center"/>
          </w:tcPr>
          <w:p>
            <w:pPr>
              <w:spacing w:before="119" w:line="180" w:lineRule="auto"/>
              <w:jc w:val="center"/>
              <w:rPr>
                <w:rFonts w:ascii="黑体" w:hAnsi="黑体" w:eastAsia="黑体" w:cs="黑体"/>
                <w:sz w:val="16"/>
                <w:szCs w:val="16"/>
              </w:rPr>
            </w:pPr>
            <w:r>
              <w:rPr>
                <w:rFonts w:hint="eastAsia" w:ascii="Times New Roman" w:hAnsi="Times New Roman" w:eastAsia="宋体" w:cs="Times New Roman"/>
                <w:kern w:val="2"/>
                <w:sz w:val="18"/>
                <w:szCs w:val="18"/>
                <w:lang w:val="en-US" w:eastAsia="zh-CN" w:bidi="ar-SA"/>
              </w:rPr>
              <w:t>产品型号</w:t>
            </w:r>
          </w:p>
        </w:tc>
        <w:tc>
          <w:tcPr>
            <w:tcW w:w="592" w:type="dxa"/>
            <w:vMerge w:val="restart"/>
            <w:tcBorders>
              <w:bottom w:val="nil"/>
            </w:tcBorders>
            <w:vAlign w:val="top"/>
          </w:tcPr>
          <w:p>
            <w:pPr>
              <w:spacing w:before="244" w:line="210" w:lineRule="auto"/>
              <w:jc w:val="center"/>
              <w:rPr>
                <w:rFonts w:ascii="黑体" w:hAnsi="黑体" w:eastAsia="黑体" w:cs="黑体"/>
                <w:sz w:val="16"/>
                <w:szCs w:val="16"/>
              </w:rPr>
            </w:pPr>
            <w:r>
              <w:rPr>
                <w:rFonts w:ascii="黑体" w:hAnsi="黑体" w:eastAsia="黑体" w:cs="黑体"/>
                <w:color w:val="231F20"/>
                <w:spacing w:val="-3"/>
                <w:sz w:val="18"/>
                <w:szCs w:val="18"/>
              </w:rPr>
              <w:t>接口尺寸</w:t>
            </w:r>
            <w:r>
              <w:rPr>
                <w:rFonts w:hint="eastAsia" w:ascii="黑体" w:hAnsi="黑体" w:eastAsia="黑体" w:cs="黑体"/>
                <w:color w:val="231F20"/>
                <w:spacing w:val="-3"/>
                <w:sz w:val="18"/>
                <w:szCs w:val="18"/>
                <w:lang w:val="en-US" w:eastAsia="zh-CN"/>
              </w:rPr>
              <w:t>代号</w:t>
            </w:r>
          </w:p>
        </w:tc>
        <w:tc>
          <w:tcPr>
            <w:tcW w:w="663" w:type="dxa"/>
            <w:vMerge w:val="restart"/>
            <w:tcBorders>
              <w:bottom w:val="nil"/>
            </w:tcBorders>
            <w:vAlign w:val="top"/>
          </w:tcPr>
          <w:p>
            <w:pPr>
              <w:spacing w:before="244" w:line="210" w:lineRule="auto"/>
              <w:jc w:val="center"/>
              <w:rPr>
                <w:rFonts w:ascii="黑体" w:hAnsi="黑体" w:eastAsia="黑体" w:cs="黑体"/>
                <w:sz w:val="15"/>
                <w:szCs w:val="15"/>
              </w:rPr>
            </w:pPr>
            <w:r>
              <w:rPr>
                <w:rFonts w:ascii="黑体" w:hAnsi="黑体" w:eastAsia="黑体" w:cs="黑体"/>
                <w:color w:val="231F20"/>
                <w:spacing w:val="-3"/>
                <w:sz w:val="18"/>
                <w:szCs w:val="18"/>
              </w:rPr>
              <w:t>内通径in. (mm)</w:t>
            </w:r>
          </w:p>
        </w:tc>
        <w:tc>
          <w:tcPr>
            <w:tcW w:w="6797" w:type="dxa"/>
            <w:gridSpan w:val="13"/>
            <w:tcBorders>
              <w:right w:val="nil"/>
            </w:tcBorders>
            <w:vAlign w:val="top"/>
          </w:tcPr>
          <w:p>
            <w:pPr>
              <w:spacing w:before="86" w:line="210" w:lineRule="auto"/>
              <w:ind w:firstLine="92"/>
              <w:jc w:val="center"/>
              <w:rPr>
                <w:rFonts w:ascii="黑体" w:hAnsi="黑体" w:eastAsia="黑体" w:cs="黑体"/>
                <w:color w:val="231F20"/>
                <w:spacing w:val="-4"/>
                <w:sz w:val="18"/>
                <w:szCs w:val="18"/>
              </w:rPr>
            </w:pPr>
            <w:r>
              <w:rPr>
                <w:rFonts w:ascii="黑体" w:hAnsi="黑体" w:eastAsia="黑体" w:cs="黑体"/>
                <w:color w:val="231F20"/>
                <w:spacing w:val="-4"/>
                <w:sz w:val="18"/>
                <w:szCs w:val="18"/>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exact"/>
        </w:trPr>
        <w:tc>
          <w:tcPr>
            <w:tcW w:w="1134" w:type="dxa"/>
            <w:vMerge w:val="continue"/>
            <w:tcBorders>
              <w:top w:val="nil"/>
              <w:left w:val="nil"/>
            </w:tcBorders>
            <w:vAlign w:val="top"/>
          </w:tcPr>
          <w:p>
            <w:pPr>
              <w:jc w:val="center"/>
              <w:rPr>
                <w:rFonts w:ascii="黑体"/>
                <w:sz w:val="21"/>
              </w:rPr>
            </w:pPr>
          </w:p>
        </w:tc>
        <w:tc>
          <w:tcPr>
            <w:tcW w:w="592" w:type="dxa"/>
            <w:vMerge w:val="continue"/>
            <w:tcBorders>
              <w:top w:val="nil"/>
            </w:tcBorders>
            <w:vAlign w:val="top"/>
          </w:tcPr>
          <w:p>
            <w:pPr>
              <w:jc w:val="center"/>
              <w:rPr>
                <w:rFonts w:ascii="黑体"/>
                <w:sz w:val="21"/>
              </w:rPr>
            </w:pPr>
          </w:p>
        </w:tc>
        <w:tc>
          <w:tcPr>
            <w:tcW w:w="663" w:type="dxa"/>
            <w:vMerge w:val="continue"/>
            <w:tcBorders>
              <w:top w:val="nil"/>
            </w:tcBorders>
            <w:vAlign w:val="top"/>
          </w:tcPr>
          <w:p>
            <w:pPr>
              <w:rPr>
                <w:rFonts w:ascii="黑体"/>
                <w:sz w:val="21"/>
              </w:rPr>
            </w:pPr>
          </w:p>
        </w:tc>
        <w:tc>
          <w:tcPr>
            <w:tcW w:w="47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6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5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49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13"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86"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V30SS-60S4-1</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4</w:t>
            </w:r>
          </w:p>
        </w:tc>
        <w:tc>
          <w:tcPr>
            <w:tcW w:w="663" w:type="dxa"/>
            <w:vAlign w:val="top"/>
          </w:tcPr>
          <w:p>
            <w:pPr>
              <w:spacing w:before="119" w:line="240" w:lineRule="auto"/>
              <w:ind w:left="0" w:leftChars="0"/>
              <w:jc w:val="center"/>
              <w:rPr>
                <w:rFonts w:hint="eastAsia"/>
                <w:sz w:val="18"/>
                <w:szCs w:val="18"/>
              </w:rPr>
            </w:pPr>
            <w:r>
              <w:rPr>
                <w:rFonts w:hint="eastAsia"/>
                <w:sz w:val="18"/>
                <w:szCs w:val="18"/>
              </w:rPr>
              <w:t>0.094</w:t>
            </w:r>
            <w:r>
              <w:rPr>
                <w:rFonts w:hint="eastAsia"/>
                <w:sz w:val="18"/>
                <w:szCs w:val="18"/>
                <w:lang w:val="en-US" w:eastAsia="zh-CN"/>
              </w:rPr>
              <w:t xml:space="preserve"> </w:t>
            </w:r>
            <w:r>
              <w:rPr>
                <w:rFonts w:hint="eastAsia"/>
                <w:sz w:val="18"/>
                <w:szCs w:val="18"/>
              </w:rPr>
              <w:t>(2.39)</w:t>
            </w:r>
          </w:p>
        </w:tc>
        <w:tc>
          <w:tcPr>
            <w:tcW w:w="473"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98" w:type="dxa"/>
            <w:vAlign w:val="top"/>
          </w:tcPr>
          <w:p>
            <w:pPr>
              <w:spacing w:before="119" w:line="240" w:lineRule="auto"/>
              <w:ind w:left="0" w:leftChars="0"/>
              <w:jc w:val="center"/>
              <w:rPr>
                <w:rFonts w:hint="eastAsia"/>
                <w:sz w:val="18"/>
                <w:szCs w:val="18"/>
              </w:rPr>
            </w:pPr>
            <w:r>
              <w:rPr>
                <w:rFonts w:hint="eastAsia"/>
                <w:sz w:val="18"/>
                <w:szCs w:val="18"/>
              </w:rPr>
              <w:t>1.00 (25.4)</w:t>
            </w:r>
          </w:p>
        </w:tc>
        <w:tc>
          <w:tcPr>
            <w:tcW w:w="513" w:type="dxa"/>
            <w:vAlign w:val="top"/>
          </w:tcPr>
          <w:p>
            <w:pPr>
              <w:spacing w:before="119" w:line="240" w:lineRule="auto"/>
              <w:ind w:left="0" w:leftChars="0"/>
              <w:jc w:val="center"/>
              <w:rPr>
                <w:rFonts w:hint="eastAsia"/>
                <w:sz w:val="18"/>
                <w:szCs w:val="18"/>
              </w:rPr>
            </w:pPr>
            <w:r>
              <w:rPr>
                <w:rFonts w:hint="eastAsia"/>
                <w:sz w:val="18"/>
                <w:szCs w:val="18"/>
              </w:rPr>
              <w:t>0.47 (11.9)</w:t>
            </w:r>
          </w:p>
        </w:tc>
        <w:tc>
          <w:tcPr>
            <w:tcW w:w="513" w:type="dxa"/>
            <w:vAlign w:val="top"/>
          </w:tcPr>
          <w:p>
            <w:pPr>
              <w:spacing w:before="119" w:line="240" w:lineRule="auto"/>
              <w:ind w:left="0" w:leftChars="0"/>
              <w:jc w:val="center"/>
              <w:rPr>
                <w:rFonts w:hint="eastAsia"/>
                <w:sz w:val="18"/>
                <w:szCs w:val="18"/>
              </w:rPr>
            </w:pPr>
            <w:r>
              <w:rPr>
                <w:rFonts w:hint="eastAsia"/>
                <w:sz w:val="18"/>
                <w:szCs w:val="18"/>
              </w:rPr>
              <w:t>1.50 (38.1)</w:t>
            </w:r>
          </w:p>
        </w:tc>
        <w:tc>
          <w:tcPr>
            <w:tcW w:w="474" w:type="dxa"/>
            <w:vAlign w:val="top"/>
          </w:tcPr>
          <w:p>
            <w:pPr>
              <w:spacing w:before="119" w:line="240" w:lineRule="auto"/>
              <w:ind w:left="0" w:leftChars="0"/>
              <w:jc w:val="center"/>
              <w:rPr>
                <w:rFonts w:hint="eastAsia"/>
                <w:sz w:val="18"/>
                <w:szCs w:val="18"/>
              </w:rPr>
            </w:pPr>
            <w:r>
              <w:rPr>
                <w:rFonts w:hint="eastAsia"/>
                <w:sz w:val="18"/>
                <w:szCs w:val="18"/>
              </w:rPr>
              <w:t>1.12 (28.5)</w:t>
            </w:r>
          </w:p>
        </w:tc>
        <w:tc>
          <w:tcPr>
            <w:tcW w:w="529"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81" w:type="dxa"/>
            <w:vAlign w:val="top"/>
          </w:tcPr>
          <w:p>
            <w:pPr>
              <w:spacing w:before="119" w:line="240" w:lineRule="auto"/>
              <w:ind w:left="0" w:leftChars="0"/>
              <w:jc w:val="center"/>
              <w:rPr>
                <w:rFonts w:hint="eastAsia"/>
                <w:sz w:val="18"/>
                <w:szCs w:val="18"/>
              </w:rPr>
            </w:pPr>
            <w:r>
              <w:rPr>
                <w:rFonts w:hint="eastAsia"/>
                <w:sz w:val="18"/>
                <w:szCs w:val="18"/>
              </w:rPr>
              <w:t>3.00 (76.2)</w:t>
            </w:r>
          </w:p>
        </w:tc>
        <w:tc>
          <w:tcPr>
            <w:tcW w:w="514" w:type="dxa"/>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65" w:type="dxa"/>
            <w:vAlign w:val="top"/>
          </w:tcPr>
          <w:p>
            <w:pPr>
              <w:spacing w:before="119" w:line="240" w:lineRule="auto"/>
              <w:ind w:left="0" w:leftChars="0"/>
              <w:jc w:val="center"/>
              <w:rPr>
                <w:rFonts w:hint="eastAsia"/>
                <w:sz w:val="18"/>
                <w:szCs w:val="18"/>
              </w:rPr>
            </w:pPr>
            <w:r>
              <w:rPr>
                <w:rFonts w:hint="eastAsia"/>
                <w:sz w:val="18"/>
                <w:szCs w:val="18"/>
              </w:rPr>
              <w:t>0.22</w:t>
            </w:r>
            <w:r>
              <w:rPr>
                <w:rFonts w:hint="eastAsia"/>
                <w:sz w:val="18"/>
                <w:szCs w:val="18"/>
                <w:lang w:val="en-US" w:eastAsia="zh-CN"/>
              </w:rPr>
              <w:t xml:space="preserve"> </w:t>
            </w:r>
            <w:r>
              <w:rPr>
                <w:rFonts w:hint="eastAsia"/>
                <w:sz w:val="18"/>
                <w:szCs w:val="18"/>
              </w:rPr>
              <w:t>(5.6)</w:t>
            </w:r>
          </w:p>
        </w:tc>
        <w:tc>
          <w:tcPr>
            <w:tcW w:w="553" w:type="dxa"/>
            <w:vAlign w:val="top"/>
          </w:tcPr>
          <w:p>
            <w:pPr>
              <w:spacing w:before="119" w:line="240" w:lineRule="auto"/>
              <w:ind w:left="0" w:leftChars="0"/>
              <w:jc w:val="center"/>
              <w:rPr>
                <w:rFonts w:hint="eastAsia"/>
                <w:sz w:val="18"/>
                <w:szCs w:val="18"/>
              </w:rPr>
            </w:pPr>
            <w:r>
              <w:rPr>
                <w:rFonts w:hint="eastAsia"/>
                <w:sz w:val="18"/>
                <w:szCs w:val="18"/>
              </w:rPr>
              <w:t>4.69  (119.1)</w:t>
            </w:r>
          </w:p>
        </w:tc>
        <w:tc>
          <w:tcPr>
            <w:tcW w:w="497" w:type="dxa"/>
            <w:vAlign w:val="top"/>
          </w:tcPr>
          <w:p>
            <w:pPr>
              <w:spacing w:before="119" w:line="240" w:lineRule="auto"/>
              <w:ind w:left="0" w:leftChars="0"/>
              <w:jc w:val="center"/>
              <w:rPr>
                <w:rFonts w:hint="eastAsia"/>
                <w:sz w:val="18"/>
                <w:szCs w:val="18"/>
              </w:rPr>
            </w:pPr>
            <w:r>
              <w:rPr>
                <w:rFonts w:hint="eastAsia"/>
                <w:sz w:val="18"/>
                <w:szCs w:val="18"/>
              </w:rPr>
              <w:t>0.69 (17.5)</w:t>
            </w:r>
          </w:p>
        </w:tc>
        <w:tc>
          <w:tcPr>
            <w:tcW w:w="474" w:type="dxa"/>
            <w:vAlign w:val="top"/>
          </w:tcPr>
          <w:p>
            <w:pPr>
              <w:spacing w:before="119" w:line="240" w:lineRule="auto"/>
              <w:ind w:left="0" w:leftChars="0"/>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w:t>
            </w:r>
            <w:r>
              <w:rPr>
                <w:rFonts w:hint="eastAsia"/>
                <w:sz w:val="18"/>
                <w:szCs w:val="18"/>
                <w:lang w:val="en-US" w:eastAsia="zh-CN"/>
              </w:rPr>
              <w:t xml:space="preserve">0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20"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V30SS-60S6-1</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6</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98" w:type="dxa"/>
            <w:vAlign w:val="top"/>
          </w:tcPr>
          <w:p>
            <w:pPr>
              <w:spacing w:before="119" w:line="240" w:lineRule="auto"/>
              <w:ind w:left="0" w:leftChars="0"/>
              <w:jc w:val="center"/>
              <w:rPr>
                <w:rFonts w:hint="eastAsia"/>
                <w:sz w:val="18"/>
                <w:szCs w:val="18"/>
              </w:rPr>
            </w:pPr>
            <w:r>
              <w:rPr>
                <w:rFonts w:hint="eastAsia"/>
                <w:sz w:val="18"/>
                <w:szCs w:val="18"/>
              </w:rPr>
              <w:t>1.00 (25.4)</w:t>
            </w:r>
          </w:p>
        </w:tc>
        <w:tc>
          <w:tcPr>
            <w:tcW w:w="513" w:type="dxa"/>
            <w:vAlign w:val="top"/>
          </w:tcPr>
          <w:p>
            <w:pPr>
              <w:spacing w:before="119" w:line="240" w:lineRule="auto"/>
              <w:ind w:left="0" w:leftChars="0"/>
              <w:jc w:val="center"/>
              <w:rPr>
                <w:rFonts w:hint="eastAsia"/>
                <w:sz w:val="18"/>
                <w:szCs w:val="18"/>
              </w:rPr>
            </w:pPr>
            <w:r>
              <w:rPr>
                <w:rFonts w:hint="eastAsia"/>
                <w:sz w:val="18"/>
                <w:szCs w:val="18"/>
              </w:rPr>
              <w:t>0.61 (15.6)</w:t>
            </w:r>
          </w:p>
        </w:tc>
        <w:tc>
          <w:tcPr>
            <w:tcW w:w="513" w:type="dxa"/>
            <w:vAlign w:val="top"/>
          </w:tcPr>
          <w:p>
            <w:pPr>
              <w:spacing w:before="119" w:line="240" w:lineRule="auto"/>
              <w:ind w:left="0" w:leftChars="0"/>
              <w:jc w:val="center"/>
              <w:rPr>
                <w:rFonts w:hint="eastAsia"/>
                <w:sz w:val="18"/>
                <w:szCs w:val="18"/>
              </w:rPr>
            </w:pPr>
            <w:r>
              <w:rPr>
                <w:rFonts w:hint="eastAsia"/>
                <w:sz w:val="18"/>
                <w:szCs w:val="18"/>
              </w:rPr>
              <w:t>1.50 (38.1)</w:t>
            </w:r>
          </w:p>
        </w:tc>
        <w:tc>
          <w:tcPr>
            <w:tcW w:w="474" w:type="dxa"/>
            <w:vAlign w:val="top"/>
          </w:tcPr>
          <w:p>
            <w:pPr>
              <w:spacing w:before="119" w:line="240" w:lineRule="auto"/>
              <w:ind w:left="0" w:leftChars="0"/>
              <w:jc w:val="center"/>
              <w:rPr>
                <w:rFonts w:hint="eastAsia"/>
                <w:sz w:val="18"/>
                <w:szCs w:val="18"/>
              </w:rPr>
            </w:pPr>
            <w:r>
              <w:rPr>
                <w:rFonts w:hint="eastAsia"/>
                <w:sz w:val="18"/>
                <w:szCs w:val="18"/>
              </w:rPr>
              <w:t>1.12 (28.5)</w:t>
            </w:r>
          </w:p>
        </w:tc>
        <w:tc>
          <w:tcPr>
            <w:tcW w:w="529"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81" w:type="dxa"/>
            <w:vAlign w:val="top"/>
          </w:tcPr>
          <w:p>
            <w:pPr>
              <w:spacing w:before="119" w:line="240" w:lineRule="auto"/>
              <w:ind w:left="0" w:leftChars="0"/>
              <w:jc w:val="center"/>
              <w:rPr>
                <w:rFonts w:hint="eastAsia"/>
                <w:sz w:val="18"/>
                <w:szCs w:val="18"/>
              </w:rPr>
            </w:pPr>
            <w:r>
              <w:rPr>
                <w:rFonts w:hint="eastAsia"/>
                <w:sz w:val="18"/>
                <w:szCs w:val="18"/>
              </w:rPr>
              <w:t>3.00 (76.2)</w:t>
            </w:r>
          </w:p>
        </w:tc>
        <w:tc>
          <w:tcPr>
            <w:tcW w:w="514" w:type="dxa"/>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65" w:type="dxa"/>
            <w:vAlign w:val="top"/>
          </w:tcPr>
          <w:p>
            <w:pPr>
              <w:spacing w:before="119" w:line="240" w:lineRule="auto"/>
              <w:ind w:left="0" w:leftChars="0"/>
              <w:jc w:val="center"/>
              <w:rPr>
                <w:rFonts w:hint="eastAsia"/>
                <w:sz w:val="18"/>
                <w:szCs w:val="18"/>
              </w:rPr>
            </w:pPr>
            <w:r>
              <w:rPr>
                <w:rFonts w:hint="eastAsia"/>
                <w:sz w:val="18"/>
                <w:szCs w:val="18"/>
              </w:rPr>
              <w:t>0.22</w:t>
            </w:r>
            <w:r>
              <w:rPr>
                <w:rFonts w:hint="eastAsia"/>
                <w:sz w:val="18"/>
                <w:szCs w:val="18"/>
                <w:lang w:val="en-US" w:eastAsia="zh-CN"/>
              </w:rPr>
              <w:t xml:space="preserve"> </w:t>
            </w:r>
            <w:r>
              <w:rPr>
                <w:rFonts w:hint="eastAsia"/>
                <w:sz w:val="18"/>
                <w:szCs w:val="18"/>
              </w:rPr>
              <w:t>(5.6)</w:t>
            </w:r>
          </w:p>
        </w:tc>
        <w:tc>
          <w:tcPr>
            <w:tcW w:w="553" w:type="dxa"/>
            <w:vAlign w:val="top"/>
          </w:tcPr>
          <w:p>
            <w:pPr>
              <w:spacing w:before="119" w:line="240" w:lineRule="auto"/>
              <w:ind w:left="0" w:leftChars="0"/>
              <w:jc w:val="center"/>
              <w:rPr>
                <w:rFonts w:hint="eastAsia"/>
                <w:sz w:val="18"/>
                <w:szCs w:val="18"/>
              </w:rPr>
            </w:pPr>
            <w:r>
              <w:rPr>
                <w:rFonts w:hint="eastAsia"/>
                <w:sz w:val="18"/>
                <w:szCs w:val="18"/>
              </w:rPr>
              <w:t>4.69  (119.1)</w:t>
            </w:r>
          </w:p>
        </w:tc>
        <w:tc>
          <w:tcPr>
            <w:tcW w:w="497" w:type="dxa"/>
            <w:vAlign w:val="top"/>
          </w:tcPr>
          <w:p>
            <w:pPr>
              <w:spacing w:before="119" w:line="240" w:lineRule="auto"/>
              <w:ind w:left="0" w:leftChars="0"/>
              <w:jc w:val="center"/>
              <w:rPr>
                <w:rFonts w:hint="eastAsia"/>
                <w:sz w:val="18"/>
                <w:szCs w:val="18"/>
              </w:rPr>
            </w:pPr>
            <w:r>
              <w:rPr>
                <w:rFonts w:hint="eastAsia"/>
                <w:sz w:val="18"/>
                <w:szCs w:val="18"/>
              </w:rPr>
              <w:t>0.69 (17.5)</w:t>
            </w:r>
          </w:p>
        </w:tc>
        <w:tc>
          <w:tcPr>
            <w:tcW w:w="474" w:type="dxa"/>
            <w:vAlign w:val="top"/>
          </w:tcPr>
          <w:p>
            <w:pPr>
              <w:spacing w:before="119" w:line="240" w:lineRule="auto"/>
              <w:ind w:left="0" w:leftChars="0"/>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9"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V30SS-60S9-1</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9</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top"/>
          </w:tcPr>
          <w:p>
            <w:pPr>
              <w:spacing w:before="119" w:line="240" w:lineRule="auto"/>
              <w:ind w:left="0" w:leftChars="0"/>
              <w:jc w:val="center"/>
              <w:rPr>
                <w:rFonts w:hint="eastAsia"/>
                <w:sz w:val="18"/>
                <w:szCs w:val="18"/>
              </w:rPr>
            </w:pPr>
            <w:r>
              <w:rPr>
                <w:rFonts w:hint="eastAsia"/>
                <w:sz w:val="18"/>
                <w:szCs w:val="18"/>
              </w:rPr>
              <w:t>2.62 (66.6)</w:t>
            </w:r>
          </w:p>
        </w:tc>
        <w:tc>
          <w:tcPr>
            <w:tcW w:w="498" w:type="dxa"/>
            <w:vAlign w:val="top"/>
          </w:tcPr>
          <w:p>
            <w:pPr>
              <w:spacing w:before="119" w:line="240" w:lineRule="auto"/>
              <w:ind w:left="0" w:leftChars="0"/>
              <w:jc w:val="center"/>
              <w:rPr>
                <w:rFonts w:hint="eastAsia"/>
                <w:sz w:val="18"/>
                <w:szCs w:val="18"/>
              </w:rPr>
            </w:pPr>
            <w:r>
              <w:rPr>
                <w:rFonts w:hint="eastAsia"/>
                <w:sz w:val="18"/>
                <w:szCs w:val="18"/>
              </w:rPr>
              <w:t>1.31 (33.3)</w:t>
            </w:r>
          </w:p>
        </w:tc>
        <w:tc>
          <w:tcPr>
            <w:tcW w:w="513" w:type="dxa"/>
            <w:vAlign w:val="top"/>
          </w:tcPr>
          <w:p>
            <w:pPr>
              <w:spacing w:before="119" w:line="240" w:lineRule="auto"/>
              <w:ind w:left="0" w:leftChars="0"/>
              <w:jc w:val="center"/>
              <w:rPr>
                <w:rFonts w:hint="eastAsia"/>
                <w:sz w:val="18"/>
                <w:szCs w:val="18"/>
              </w:rPr>
            </w:pPr>
            <w:r>
              <w:rPr>
                <w:rFonts w:hint="eastAsia"/>
                <w:sz w:val="18"/>
                <w:szCs w:val="18"/>
              </w:rPr>
              <w:t>0.95 (24.1)</w:t>
            </w:r>
          </w:p>
        </w:tc>
        <w:tc>
          <w:tcPr>
            <w:tcW w:w="513" w:type="dxa"/>
            <w:vAlign w:val="top"/>
          </w:tcPr>
          <w:p>
            <w:pPr>
              <w:spacing w:before="119" w:line="240" w:lineRule="auto"/>
              <w:ind w:left="0" w:leftChars="0"/>
              <w:jc w:val="center"/>
              <w:rPr>
                <w:rFonts w:hint="eastAsia"/>
                <w:sz w:val="18"/>
                <w:szCs w:val="18"/>
              </w:rPr>
            </w:pPr>
            <w:r>
              <w:rPr>
                <w:rFonts w:hint="eastAsia"/>
                <w:sz w:val="18"/>
                <w:szCs w:val="18"/>
              </w:rPr>
              <w:t>1.56 (39.6)</w:t>
            </w:r>
          </w:p>
        </w:tc>
        <w:tc>
          <w:tcPr>
            <w:tcW w:w="474" w:type="dxa"/>
            <w:vAlign w:val="top"/>
          </w:tcPr>
          <w:p>
            <w:pPr>
              <w:spacing w:before="119" w:line="240" w:lineRule="auto"/>
              <w:ind w:left="0" w:leftChars="0"/>
              <w:jc w:val="center"/>
              <w:rPr>
                <w:rFonts w:hint="eastAsia"/>
                <w:sz w:val="18"/>
                <w:szCs w:val="18"/>
              </w:rPr>
            </w:pPr>
            <w:r>
              <w:rPr>
                <w:rFonts w:hint="eastAsia"/>
                <w:sz w:val="18"/>
                <w:szCs w:val="18"/>
              </w:rPr>
              <w:t>1.12 (28.5)</w:t>
            </w:r>
          </w:p>
        </w:tc>
        <w:tc>
          <w:tcPr>
            <w:tcW w:w="529" w:type="dxa"/>
            <w:vAlign w:val="top"/>
          </w:tcPr>
          <w:p>
            <w:pPr>
              <w:spacing w:before="119" w:line="240" w:lineRule="auto"/>
              <w:ind w:left="0" w:leftChars="0"/>
              <w:jc w:val="center"/>
              <w:rPr>
                <w:rFonts w:hint="eastAsia"/>
                <w:sz w:val="18"/>
                <w:szCs w:val="18"/>
              </w:rPr>
            </w:pPr>
            <w:r>
              <w:rPr>
                <w:rFonts w:hint="eastAsia"/>
                <w:sz w:val="18"/>
                <w:szCs w:val="18"/>
              </w:rPr>
              <w:t>2.44 (62.0)</w:t>
            </w:r>
          </w:p>
        </w:tc>
        <w:tc>
          <w:tcPr>
            <w:tcW w:w="481" w:type="dxa"/>
            <w:vAlign w:val="top"/>
          </w:tcPr>
          <w:p>
            <w:pPr>
              <w:spacing w:before="119" w:line="240" w:lineRule="auto"/>
              <w:ind w:left="0" w:leftChars="0"/>
              <w:jc w:val="center"/>
              <w:rPr>
                <w:rFonts w:hint="eastAsia"/>
                <w:sz w:val="18"/>
                <w:szCs w:val="18"/>
              </w:rPr>
            </w:pPr>
            <w:r>
              <w:rPr>
                <w:rFonts w:hint="eastAsia"/>
                <w:sz w:val="18"/>
                <w:szCs w:val="18"/>
              </w:rPr>
              <w:t>3.00 (76.2)</w:t>
            </w:r>
          </w:p>
        </w:tc>
        <w:tc>
          <w:tcPr>
            <w:tcW w:w="514" w:type="dxa"/>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65" w:type="dxa"/>
            <w:vAlign w:val="top"/>
          </w:tcPr>
          <w:p>
            <w:pPr>
              <w:spacing w:before="119" w:line="240" w:lineRule="auto"/>
              <w:ind w:left="0" w:leftChars="0"/>
              <w:jc w:val="center"/>
              <w:rPr>
                <w:rFonts w:hint="eastAsia"/>
                <w:sz w:val="18"/>
                <w:szCs w:val="18"/>
              </w:rPr>
            </w:pPr>
            <w:r>
              <w:rPr>
                <w:rFonts w:hint="eastAsia"/>
                <w:sz w:val="18"/>
                <w:szCs w:val="18"/>
              </w:rPr>
              <w:t>0.28</w:t>
            </w:r>
            <w:r>
              <w:rPr>
                <w:rFonts w:hint="eastAsia"/>
                <w:sz w:val="18"/>
                <w:szCs w:val="18"/>
                <w:lang w:val="en-US" w:eastAsia="zh-CN"/>
              </w:rPr>
              <w:t xml:space="preserve"> </w:t>
            </w:r>
            <w:r>
              <w:rPr>
                <w:rFonts w:hint="eastAsia"/>
                <w:sz w:val="18"/>
                <w:szCs w:val="18"/>
              </w:rPr>
              <w:t>(7.1)</w:t>
            </w:r>
          </w:p>
        </w:tc>
        <w:tc>
          <w:tcPr>
            <w:tcW w:w="553" w:type="dxa"/>
            <w:vAlign w:val="top"/>
          </w:tcPr>
          <w:p>
            <w:pPr>
              <w:spacing w:before="119" w:line="240" w:lineRule="auto"/>
              <w:ind w:left="0" w:leftChars="0"/>
              <w:jc w:val="center"/>
              <w:rPr>
                <w:rFonts w:hint="eastAsia"/>
                <w:sz w:val="18"/>
                <w:szCs w:val="18"/>
              </w:rPr>
            </w:pPr>
            <w:r>
              <w:rPr>
                <w:rFonts w:hint="eastAsia"/>
                <w:sz w:val="18"/>
                <w:szCs w:val="18"/>
              </w:rPr>
              <w:t>5.13  (130.3)</w:t>
            </w:r>
          </w:p>
        </w:tc>
        <w:tc>
          <w:tcPr>
            <w:tcW w:w="497" w:type="dxa"/>
            <w:vAlign w:val="top"/>
          </w:tcPr>
          <w:p>
            <w:pPr>
              <w:spacing w:before="119" w:line="240" w:lineRule="auto"/>
              <w:ind w:left="0" w:leftChars="0"/>
              <w:jc w:val="center"/>
              <w:rPr>
                <w:rFonts w:hint="eastAsia"/>
                <w:sz w:val="18"/>
                <w:szCs w:val="18"/>
              </w:rPr>
            </w:pPr>
            <w:r>
              <w:rPr>
                <w:rFonts w:hint="eastAsia"/>
                <w:sz w:val="18"/>
                <w:szCs w:val="18"/>
              </w:rPr>
              <w:t>0.69 (17.5)</w:t>
            </w:r>
          </w:p>
        </w:tc>
        <w:tc>
          <w:tcPr>
            <w:tcW w:w="474" w:type="dxa"/>
            <w:vAlign w:val="top"/>
          </w:tcPr>
          <w:p>
            <w:pPr>
              <w:spacing w:before="119" w:line="240" w:lineRule="auto"/>
              <w:ind w:left="0" w:leftChars="0"/>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1.50</w:t>
            </w:r>
            <w:r>
              <w:rPr>
                <w:rFonts w:hint="eastAsia"/>
                <w:sz w:val="18"/>
                <w:szCs w:val="18"/>
                <w:lang w:val="en-US" w:eastAsia="zh-CN"/>
              </w:rPr>
              <w:t xml:space="preserve">  </w:t>
            </w:r>
            <w:r>
              <w:rPr>
                <w:rFonts w:hint="eastAsia"/>
                <w:sz w:val="18"/>
                <w:szCs w:val="18"/>
              </w:rPr>
              <w:t>(38.1)</w:t>
            </w:r>
          </w:p>
        </w:tc>
      </w:tr>
    </w:tbl>
    <w:p>
      <w:pPr>
        <w:rPr>
          <w:rFonts w:hint="eastAsia" w:ascii="宋体" w:hAnsi="宋体" w:cs="宋体"/>
          <w:color w:val="000000"/>
          <w:kern w:val="0"/>
          <w:sz w:val="21"/>
          <w:szCs w:val="21"/>
          <w:lang w:val="en-US" w:eastAsia="zh-CN" w:bidi="ar"/>
        </w:rPr>
      </w:pPr>
    </w:p>
    <w:p>
      <w:p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超高压针形阀角型</w:t>
      </w:r>
    </w:p>
    <w:tbl>
      <w:tblPr>
        <w:tblStyle w:val="16"/>
        <w:tblpPr w:leftFromText="180" w:rightFromText="180" w:vertAnchor="text" w:horzAnchor="page" w:tblpX="1611" w:tblpY="62"/>
        <w:tblOverlap w:val="never"/>
        <w:tblW w:w="9223"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16"/>
        <w:gridCol w:w="600"/>
        <w:gridCol w:w="655"/>
        <w:gridCol w:w="481"/>
        <w:gridCol w:w="498"/>
        <w:gridCol w:w="505"/>
        <w:gridCol w:w="537"/>
        <w:gridCol w:w="458"/>
        <w:gridCol w:w="529"/>
        <w:gridCol w:w="481"/>
        <w:gridCol w:w="514"/>
        <w:gridCol w:w="457"/>
        <w:gridCol w:w="561"/>
        <w:gridCol w:w="505"/>
        <w:gridCol w:w="482"/>
        <w:gridCol w:w="844"/>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8" w:hRule="atLeast"/>
        </w:trPr>
        <w:tc>
          <w:tcPr>
            <w:tcW w:w="1116" w:type="dxa"/>
            <w:vMerge w:val="restart"/>
            <w:tcBorders>
              <w:left w:val="nil"/>
              <w:bottom w:val="nil"/>
            </w:tcBorders>
            <w:vAlign w:val="center"/>
          </w:tcPr>
          <w:p>
            <w:pPr>
              <w:spacing w:before="119" w:line="180" w:lineRule="auto"/>
              <w:jc w:val="center"/>
              <w:rPr>
                <w:rFonts w:hint="eastAsia" w:ascii="黑体" w:hAnsi="黑体" w:eastAsia="黑体" w:cs="黑体"/>
                <w:color w:val="231F20"/>
                <w:spacing w:val="-3"/>
                <w:sz w:val="18"/>
                <w:szCs w:val="18"/>
                <w:lang w:val="en-US" w:eastAsia="zh-CN"/>
              </w:rPr>
            </w:pPr>
            <w:r>
              <w:rPr>
                <w:rFonts w:hint="eastAsia" w:ascii="Times New Roman" w:hAnsi="Times New Roman" w:eastAsia="宋体" w:cs="Times New Roman"/>
                <w:kern w:val="2"/>
                <w:sz w:val="18"/>
                <w:szCs w:val="18"/>
                <w:lang w:val="en-US" w:eastAsia="zh-CN" w:bidi="ar-SA"/>
              </w:rPr>
              <w:t>产品型号</w:t>
            </w:r>
          </w:p>
        </w:tc>
        <w:tc>
          <w:tcPr>
            <w:tcW w:w="600" w:type="dxa"/>
            <w:vMerge w:val="restart"/>
            <w:tcBorders>
              <w:bottom w:val="nil"/>
            </w:tcBorders>
            <w:vAlign w:val="top"/>
          </w:tcPr>
          <w:p>
            <w:pPr>
              <w:spacing w:before="244" w:line="210" w:lineRule="auto"/>
              <w:jc w:val="center"/>
              <w:rPr>
                <w:rFonts w:hint="eastAsia" w:ascii="黑体" w:hAnsi="黑体" w:eastAsia="黑体" w:cs="黑体"/>
                <w:color w:val="231F20"/>
                <w:spacing w:val="-3"/>
                <w:sz w:val="18"/>
                <w:szCs w:val="18"/>
                <w:lang w:val="en-US" w:eastAsia="zh-CN"/>
              </w:rPr>
            </w:pPr>
            <w:r>
              <w:rPr>
                <w:rFonts w:hint="eastAsia" w:ascii="黑体" w:hAnsi="黑体" w:eastAsia="黑体" w:cs="黑体"/>
                <w:color w:val="231F20"/>
                <w:spacing w:val="-3"/>
                <w:sz w:val="18"/>
                <w:szCs w:val="18"/>
                <w:lang w:val="en-US" w:eastAsia="zh-CN"/>
              </w:rPr>
              <w:t>接口尺寸代号</w:t>
            </w:r>
          </w:p>
        </w:tc>
        <w:tc>
          <w:tcPr>
            <w:tcW w:w="655" w:type="dxa"/>
            <w:vMerge w:val="restart"/>
            <w:tcBorders>
              <w:bottom w:val="nil"/>
            </w:tcBorders>
            <w:vAlign w:val="top"/>
          </w:tcPr>
          <w:p>
            <w:pPr>
              <w:spacing w:before="244" w:line="210" w:lineRule="auto"/>
              <w:jc w:val="center"/>
              <w:rPr>
                <w:rFonts w:hint="eastAsia" w:ascii="黑体" w:hAnsi="黑体" w:eastAsia="黑体" w:cs="黑体"/>
                <w:color w:val="231F20"/>
                <w:spacing w:val="-3"/>
                <w:sz w:val="18"/>
                <w:szCs w:val="18"/>
                <w:lang w:val="en-US" w:eastAsia="zh-CN"/>
              </w:rPr>
            </w:pPr>
            <w:r>
              <w:rPr>
                <w:rFonts w:hint="eastAsia" w:ascii="黑体" w:hAnsi="黑体" w:eastAsia="黑体" w:cs="黑体"/>
                <w:color w:val="231F20"/>
                <w:spacing w:val="-3"/>
                <w:sz w:val="18"/>
                <w:szCs w:val="18"/>
                <w:lang w:val="en-US" w:eastAsia="zh-CN"/>
              </w:rPr>
              <w:t>内通径in.(mm)</w:t>
            </w:r>
          </w:p>
        </w:tc>
        <w:tc>
          <w:tcPr>
            <w:tcW w:w="6852" w:type="dxa"/>
            <w:gridSpan w:val="13"/>
            <w:tcBorders>
              <w:right w:val="nil"/>
            </w:tcBorders>
            <w:vAlign w:val="top"/>
          </w:tcPr>
          <w:p>
            <w:pPr>
              <w:spacing w:before="244" w:line="210" w:lineRule="auto"/>
              <w:jc w:val="center"/>
              <w:rPr>
                <w:rFonts w:hint="eastAsia" w:ascii="黑体" w:hAnsi="黑体" w:eastAsia="黑体" w:cs="黑体"/>
                <w:color w:val="231F20"/>
                <w:spacing w:val="-3"/>
                <w:sz w:val="18"/>
                <w:szCs w:val="18"/>
                <w:lang w:val="en-US" w:eastAsia="zh-CN"/>
              </w:rPr>
            </w:pPr>
            <w:r>
              <w:rPr>
                <w:rFonts w:hint="eastAsia" w:ascii="黑体" w:hAnsi="黑体" w:eastAsia="黑体" w:cs="黑体"/>
                <w:color w:val="231F20"/>
                <w:spacing w:val="-3"/>
                <w:sz w:val="18"/>
                <w:szCs w:val="18"/>
                <w:lang w:val="en-US" w:eastAsia="zh-CN"/>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03" w:hRule="atLeast"/>
        </w:trPr>
        <w:tc>
          <w:tcPr>
            <w:tcW w:w="1116" w:type="dxa"/>
            <w:vMerge w:val="continue"/>
            <w:tcBorders>
              <w:top w:val="nil"/>
              <w:left w:val="nil"/>
            </w:tcBorders>
            <w:vAlign w:val="top"/>
          </w:tcPr>
          <w:p>
            <w:pPr>
              <w:rPr>
                <w:rFonts w:ascii="黑体"/>
                <w:sz w:val="21"/>
              </w:rPr>
            </w:pPr>
          </w:p>
        </w:tc>
        <w:tc>
          <w:tcPr>
            <w:tcW w:w="600" w:type="dxa"/>
            <w:vMerge w:val="continue"/>
            <w:tcBorders>
              <w:top w:val="nil"/>
            </w:tcBorders>
            <w:vAlign w:val="top"/>
          </w:tcPr>
          <w:p>
            <w:pPr>
              <w:rPr>
                <w:rFonts w:ascii="黑体"/>
                <w:sz w:val="21"/>
              </w:rPr>
            </w:pPr>
          </w:p>
        </w:tc>
        <w:tc>
          <w:tcPr>
            <w:tcW w:w="655" w:type="dxa"/>
            <w:vMerge w:val="continue"/>
            <w:tcBorders>
              <w:top w:val="nil"/>
            </w:tcBorders>
            <w:vAlign w:val="top"/>
          </w:tcPr>
          <w:p>
            <w:pPr>
              <w:rPr>
                <w:rFonts w:ascii="黑体"/>
                <w:sz w:val="21"/>
              </w:rPr>
            </w:pP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0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3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58" w:type="dxa"/>
            <w:tcBorders>
              <w:bottom w:val="single" w:color="000000" w:sz="2" w:space="0"/>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5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6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50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82"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44"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0" w:hRule="atLeast"/>
        </w:trPr>
        <w:tc>
          <w:tcPr>
            <w:tcW w:w="1116" w:type="dxa"/>
            <w:tcBorders>
              <w:lef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V30SS-60S4-2</w:t>
            </w:r>
          </w:p>
        </w:tc>
        <w:tc>
          <w:tcPr>
            <w:tcW w:w="600" w:type="dxa"/>
            <w:vAlign w:val="top"/>
          </w:tcPr>
          <w:p>
            <w:pPr>
              <w:spacing w:before="119" w:line="180" w:lineRule="auto"/>
              <w:jc w:val="center"/>
              <w:rPr>
                <w:rFonts w:hint="eastAsia"/>
                <w:sz w:val="18"/>
                <w:szCs w:val="18"/>
              </w:rPr>
            </w:pPr>
            <w:r>
              <w:rPr>
                <w:rFonts w:hint="eastAsia"/>
                <w:sz w:val="18"/>
                <w:szCs w:val="18"/>
                <w:lang w:val="en-US" w:eastAsia="zh-CN"/>
              </w:rPr>
              <w:t>60S</w:t>
            </w:r>
            <w:r>
              <w:rPr>
                <w:rFonts w:hint="eastAsia"/>
                <w:sz w:val="18"/>
                <w:szCs w:val="18"/>
              </w:rPr>
              <w:t>4</w:t>
            </w:r>
          </w:p>
        </w:tc>
        <w:tc>
          <w:tcPr>
            <w:tcW w:w="655" w:type="dxa"/>
            <w:vAlign w:val="top"/>
          </w:tcPr>
          <w:p>
            <w:pPr>
              <w:spacing w:before="119" w:line="180" w:lineRule="auto"/>
              <w:jc w:val="center"/>
              <w:rPr>
                <w:rFonts w:hint="eastAsia"/>
                <w:sz w:val="18"/>
                <w:szCs w:val="18"/>
              </w:rPr>
            </w:pPr>
            <w:r>
              <w:rPr>
                <w:rFonts w:hint="eastAsia"/>
                <w:sz w:val="18"/>
                <w:szCs w:val="18"/>
              </w:rPr>
              <w:t>0.094</w:t>
            </w:r>
            <w:r>
              <w:rPr>
                <w:rFonts w:hint="eastAsia"/>
                <w:sz w:val="18"/>
                <w:szCs w:val="18"/>
                <w:lang w:val="en-US" w:eastAsia="zh-CN"/>
              </w:rPr>
              <w:t xml:space="preserve"> </w:t>
            </w:r>
            <w:r>
              <w:rPr>
                <w:rFonts w:hint="eastAsia"/>
                <w:sz w:val="18"/>
                <w:szCs w:val="18"/>
              </w:rPr>
              <w:t>(2.39)</w:t>
            </w:r>
          </w:p>
        </w:tc>
        <w:tc>
          <w:tcPr>
            <w:tcW w:w="481" w:type="dxa"/>
            <w:vAlign w:val="top"/>
          </w:tcPr>
          <w:p>
            <w:pPr>
              <w:spacing w:before="119" w:line="180" w:lineRule="auto"/>
              <w:jc w:val="center"/>
              <w:rPr>
                <w:rFonts w:hint="eastAsia"/>
                <w:sz w:val="18"/>
                <w:szCs w:val="18"/>
              </w:rPr>
            </w:pPr>
            <w:r>
              <w:rPr>
                <w:rFonts w:hint="eastAsia"/>
                <w:sz w:val="18"/>
                <w:szCs w:val="18"/>
              </w:rPr>
              <w:t>2.00 (50.8)</w:t>
            </w:r>
          </w:p>
        </w:tc>
        <w:tc>
          <w:tcPr>
            <w:tcW w:w="498" w:type="dxa"/>
            <w:vAlign w:val="top"/>
          </w:tcPr>
          <w:p>
            <w:pPr>
              <w:spacing w:before="119" w:line="180" w:lineRule="auto"/>
              <w:jc w:val="center"/>
              <w:rPr>
                <w:rFonts w:hint="eastAsia"/>
                <w:sz w:val="18"/>
                <w:szCs w:val="18"/>
              </w:rPr>
            </w:pPr>
            <w:r>
              <w:rPr>
                <w:rFonts w:hint="eastAsia"/>
                <w:sz w:val="18"/>
                <w:szCs w:val="18"/>
              </w:rPr>
              <w:t>1.00 (25.4)</w:t>
            </w:r>
          </w:p>
        </w:tc>
        <w:tc>
          <w:tcPr>
            <w:tcW w:w="505" w:type="dxa"/>
            <w:vAlign w:val="top"/>
          </w:tcPr>
          <w:p>
            <w:pPr>
              <w:spacing w:before="119" w:line="180" w:lineRule="auto"/>
              <w:jc w:val="center"/>
              <w:rPr>
                <w:rFonts w:hint="eastAsia"/>
                <w:sz w:val="18"/>
                <w:szCs w:val="18"/>
              </w:rPr>
            </w:pPr>
            <w:r>
              <w:rPr>
                <w:rFonts w:hint="eastAsia"/>
                <w:sz w:val="18"/>
                <w:szCs w:val="18"/>
              </w:rPr>
              <w:t>0.47 (11.9)</w:t>
            </w:r>
          </w:p>
        </w:tc>
        <w:tc>
          <w:tcPr>
            <w:tcW w:w="537" w:type="dxa"/>
            <w:tcBorders>
              <w:right w:val="single" w:color="000000" w:sz="2" w:space="0"/>
            </w:tcBorders>
            <w:vAlign w:val="top"/>
          </w:tcPr>
          <w:p>
            <w:pPr>
              <w:spacing w:before="119" w:line="180" w:lineRule="auto"/>
              <w:jc w:val="center"/>
              <w:rPr>
                <w:rFonts w:hint="eastAsia"/>
                <w:sz w:val="18"/>
                <w:szCs w:val="18"/>
              </w:rPr>
            </w:pPr>
            <w:r>
              <w:rPr>
                <w:rFonts w:hint="eastAsia"/>
                <w:sz w:val="18"/>
                <w:szCs w:val="18"/>
              </w:rPr>
              <w:t>1.12 (28.5)</w:t>
            </w:r>
          </w:p>
        </w:tc>
        <w:tc>
          <w:tcPr>
            <w:tcW w:w="458" w:type="dxa"/>
            <w:tcBorders>
              <w:tr2bl w:val="single" w:color="231F20" w:sz="4" w:space="0"/>
            </w:tcBorders>
            <w:vAlign w:val="top"/>
          </w:tcPr>
          <w:p>
            <w:pPr>
              <w:spacing w:before="119" w:line="180" w:lineRule="auto"/>
              <w:jc w:val="center"/>
              <w:rPr>
                <w:rFonts w:hint="eastAsia"/>
                <w:sz w:val="18"/>
                <w:szCs w:val="18"/>
              </w:rPr>
            </w:pPr>
          </w:p>
        </w:tc>
        <w:tc>
          <w:tcPr>
            <w:tcW w:w="529" w:type="dxa"/>
            <w:tcBorders>
              <w:left w:val="single" w:color="000000" w:sz="2" w:space="0"/>
            </w:tcBorders>
            <w:vAlign w:val="top"/>
          </w:tcPr>
          <w:p>
            <w:pPr>
              <w:spacing w:before="119" w:line="180" w:lineRule="auto"/>
              <w:jc w:val="center"/>
              <w:rPr>
                <w:rFonts w:hint="eastAsia"/>
                <w:sz w:val="18"/>
                <w:szCs w:val="18"/>
              </w:rPr>
            </w:pPr>
            <w:r>
              <w:rPr>
                <w:rFonts w:hint="eastAsia"/>
                <w:sz w:val="18"/>
                <w:szCs w:val="18"/>
              </w:rPr>
              <w:t>2.00 (50.8)</w:t>
            </w:r>
          </w:p>
        </w:tc>
        <w:tc>
          <w:tcPr>
            <w:tcW w:w="481" w:type="dxa"/>
            <w:vAlign w:val="top"/>
          </w:tcPr>
          <w:p>
            <w:pPr>
              <w:spacing w:before="119" w:line="180" w:lineRule="auto"/>
              <w:jc w:val="center"/>
              <w:rPr>
                <w:rFonts w:hint="eastAsia"/>
                <w:sz w:val="18"/>
                <w:szCs w:val="18"/>
              </w:rPr>
            </w:pPr>
            <w:r>
              <w:rPr>
                <w:rFonts w:hint="eastAsia"/>
                <w:sz w:val="18"/>
                <w:szCs w:val="18"/>
              </w:rPr>
              <w:t>3.00 (76.2)</w:t>
            </w:r>
          </w:p>
        </w:tc>
        <w:tc>
          <w:tcPr>
            <w:tcW w:w="514" w:type="dxa"/>
            <w:vAlign w:val="top"/>
          </w:tcPr>
          <w:p>
            <w:pPr>
              <w:spacing w:before="119" w:line="180" w:lineRule="auto"/>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57" w:type="dxa"/>
            <w:vAlign w:val="top"/>
          </w:tcPr>
          <w:p>
            <w:pPr>
              <w:spacing w:before="119" w:line="180" w:lineRule="auto"/>
              <w:jc w:val="center"/>
              <w:rPr>
                <w:rFonts w:hint="eastAsia"/>
                <w:sz w:val="18"/>
                <w:szCs w:val="18"/>
              </w:rPr>
            </w:pPr>
            <w:r>
              <w:rPr>
                <w:rFonts w:hint="eastAsia"/>
                <w:sz w:val="18"/>
                <w:szCs w:val="18"/>
              </w:rPr>
              <w:t>0.22</w:t>
            </w:r>
            <w:r>
              <w:rPr>
                <w:rFonts w:hint="eastAsia"/>
                <w:sz w:val="18"/>
                <w:szCs w:val="18"/>
                <w:lang w:val="en-US" w:eastAsia="zh-CN"/>
              </w:rPr>
              <w:t xml:space="preserve"> </w:t>
            </w:r>
            <w:r>
              <w:rPr>
                <w:rFonts w:hint="eastAsia"/>
                <w:sz w:val="18"/>
                <w:szCs w:val="18"/>
              </w:rPr>
              <w:t>(5.6)</w:t>
            </w:r>
          </w:p>
        </w:tc>
        <w:tc>
          <w:tcPr>
            <w:tcW w:w="561" w:type="dxa"/>
            <w:vAlign w:val="top"/>
          </w:tcPr>
          <w:p>
            <w:pPr>
              <w:spacing w:before="119" w:line="180" w:lineRule="auto"/>
              <w:jc w:val="center"/>
              <w:rPr>
                <w:rFonts w:hint="eastAsia"/>
                <w:sz w:val="18"/>
                <w:szCs w:val="18"/>
              </w:rPr>
            </w:pPr>
            <w:r>
              <w:rPr>
                <w:rFonts w:hint="eastAsia"/>
                <w:sz w:val="18"/>
                <w:szCs w:val="18"/>
              </w:rPr>
              <w:t>4.69  (119.1)</w:t>
            </w:r>
          </w:p>
        </w:tc>
        <w:tc>
          <w:tcPr>
            <w:tcW w:w="505" w:type="dxa"/>
            <w:vAlign w:val="top"/>
          </w:tcPr>
          <w:p>
            <w:pPr>
              <w:spacing w:before="119" w:line="180" w:lineRule="auto"/>
              <w:jc w:val="center"/>
              <w:rPr>
                <w:rFonts w:hint="eastAsia"/>
                <w:sz w:val="18"/>
                <w:szCs w:val="18"/>
              </w:rPr>
            </w:pPr>
            <w:r>
              <w:rPr>
                <w:rFonts w:hint="eastAsia"/>
                <w:sz w:val="18"/>
                <w:szCs w:val="18"/>
              </w:rPr>
              <w:t>0.69 (17.5)</w:t>
            </w:r>
          </w:p>
        </w:tc>
        <w:tc>
          <w:tcPr>
            <w:tcW w:w="482" w:type="dxa"/>
            <w:vAlign w:val="top"/>
          </w:tcPr>
          <w:p>
            <w:pPr>
              <w:spacing w:before="119" w:line="180" w:lineRule="auto"/>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44" w:type="dxa"/>
            <w:tcBorders>
              <w:right w:val="nil"/>
            </w:tcBorders>
            <w:vAlign w:val="top"/>
          </w:tcPr>
          <w:p>
            <w:pPr>
              <w:spacing w:before="119" w:line="180" w:lineRule="auto"/>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trPr>
        <w:tc>
          <w:tcPr>
            <w:tcW w:w="1116" w:type="dxa"/>
            <w:tcBorders>
              <w:lef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V30SS-60S6-2</w:t>
            </w:r>
          </w:p>
        </w:tc>
        <w:tc>
          <w:tcPr>
            <w:tcW w:w="600" w:type="dxa"/>
            <w:vAlign w:val="top"/>
          </w:tcPr>
          <w:p>
            <w:pPr>
              <w:spacing w:before="119" w:line="180" w:lineRule="auto"/>
              <w:jc w:val="center"/>
              <w:rPr>
                <w:rFonts w:hint="eastAsia"/>
                <w:sz w:val="18"/>
                <w:szCs w:val="18"/>
              </w:rPr>
            </w:pPr>
            <w:r>
              <w:rPr>
                <w:rFonts w:hint="eastAsia"/>
                <w:sz w:val="18"/>
                <w:szCs w:val="18"/>
                <w:lang w:val="en-US" w:eastAsia="zh-CN"/>
              </w:rPr>
              <w:t>60S</w:t>
            </w:r>
            <w:r>
              <w:rPr>
                <w:rFonts w:hint="eastAsia"/>
                <w:sz w:val="18"/>
                <w:szCs w:val="18"/>
              </w:rPr>
              <w:t>6</w:t>
            </w:r>
          </w:p>
        </w:tc>
        <w:tc>
          <w:tcPr>
            <w:tcW w:w="655" w:type="dxa"/>
            <w:vAlign w:val="top"/>
          </w:tcPr>
          <w:p>
            <w:pPr>
              <w:spacing w:before="119" w:line="180" w:lineRule="auto"/>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81" w:type="dxa"/>
            <w:vAlign w:val="top"/>
          </w:tcPr>
          <w:p>
            <w:pPr>
              <w:spacing w:before="119" w:line="180" w:lineRule="auto"/>
              <w:jc w:val="center"/>
              <w:rPr>
                <w:rFonts w:hint="eastAsia"/>
                <w:sz w:val="18"/>
                <w:szCs w:val="18"/>
              </w:rPr>
            </w:pPr>
            <w:r>
              <w:rPr>
                <w:rFonts w:hint="eastAsia"/>
                <w:sz w:val="18"/>
                <w:szCs w:val="18"/>
              </w:rPr>
              <w:t>2.00 (50.8)</w:t>
            </w:r>
          </w:p>
        </w:tc>
        <w:tc>
          <w:tcPr>
            <w:tcW w:w="498" w:type="dxa"/>
            <w:vAlign w:val="top"/>
          </w:tcPr>
          <w:p>
            <w:pPr>
              <w:spacing w:before="119" w:line="180" w:lineRule="auto"/>
              <w:jc w:val="center"/>
              <w:rPr>
                <w:rFonts w:hint="eastAsia"/>
                <w:sz w:val="18"/>
                <w:szCs w:val="18"/>
              </w:rPr>
            </w:pPr>
            <w:r>
              <w:rPr>
                <w:rFonts w:hint="eastAsia"/>
                <w:sz w:val="18"/>
                <w:szCs w:val="18"/>
              </w:rPr>
              <w:t>1.00 (25.4)</w:t>
            </w:r>
          </w:p>
        </w:tc>
        <w:tc>
          <w:tcPr>
            <w:tcW w:w="505" w:type="dxa"/>
            <w:vAlign w:val="top"/>
          </w:tcPr>
          <w:p>
            <w:pPr>
              <w:spacing w:before="119" w:line="180" w:lineRule="auto"/>
              <w:jc w:val="center"/>
              <w:rPr>
                <w:rFonts w:hint="eastAsia"/>
                <w:sz w:val="18"/>
                <w:szCs w:val="18"/>
              </w:rPr>
            </w:pPr>
            <w:r>
              <w:rPr>
                <w:rFonts w:hint="eastAsia"/>
                <w:sz w:val="18"/>
                <w:szCs w:val="18"/>
              </w:rPr>
              <w:t>0.61 (15.6)</w:t>
            </w:r>
          </w:p>
        </w:tc>
        <w:tc>
          <w:tcPr>
            <w:tcW w:w="537" w:type="dxa"/>
            <w:tcBorders>
              <w:right w:val="single" w:color="000000" w:sz="2" w:space="0"/>
            </w:tcBorders>
            <w:vAlign w:val="top"/>
          </w:tcPr>
          <w:p>
            <w:pPr>
              <w:spacing w:before="119" w:line="180" w:lineRule="auto"/>
              <w:jc w:val="center"/>
              <w:rPr>
                <w:rFonts w:hint="eastAsia"/>
                <w:sz w:val="18"/>
                <w:szCs w:val="18"/>
              </w:rPr>
            </w:pPr>
            <w:r>
              <w:rPr>
                <w:rFonts w:hint="eastAsia"/>
                <w:sz w:val="18"/>
                <w:szCs w:val="18"/>
              </w:rPr>
              <w:t>1.12 (28.5)</w:t>
            </w:r>
          </w:p>
        </w:tc>
        <w:tc>
          <w:tcPr>
            <w:tcW w:w="458" w:type="dxa"/>
            <w:tcBorders>
              <w:tr2bl w:val="single" w:color="231F20" w:sz="4" w:space="0"/>
            </w:tcBorders>
            <w:vAlign w:val="top"/>
          </w:tcPr>
          <w:p>
            <w:pPr>
              <w:spacing w:before="119" w:line="180" w:lineRule="auto"/>
              <w:jc w:val="center"/>
              <w:rPr>
                <w:rFonts w:hint="eastAsia"/>
                <w:sz w:val="18"/>
                <w:szCs w:val="18"/>
              </w:rPr>
            </w:pPr>
          </w:p>
        </w:tc>
        <w:tc>
          <w:tcPr>
            <w:tcW w:w="529" w:type="dxa"/>
            <w:tcBorders>
              <w:left w:val="single" w:color="000000" w:sz="2" w:space="0"/>
            </w:tcBorders>
            <w:vAlign w:val="top"/>
          </w:tcPr>
          <w:p>
            <w:pPr>
              <w:spacing w:before="119" w:line="180" w:lineRule="auto"/>
              <w:jc w:val="center"/>
              <w:rPr>
                <w:rFonts w:hint="eastAsia"/>
                <w:sz w:val="18"/>
                <w:szCs w:val="18"/>
              </w:rPr>
            </w:pPr>
            <w:r>
              <w:rPr>
                <w:rFonts w:hint="eastAsia"/>
                <w:sz w:val="18"/>
                <w:szCs w:val="18"/>
              </w:rPr>
              <w:t>2.25 (57.2)</w:t>
            </w:r>
          </w:p>
        </w:tc>
        <w:tc>
          <w:tcPr>
            <w:tcW w:w="481" w:type="dxa"/>
            <w:vAlign w:val="top"/>
          </w:tcPr>
          <w:p>
            <w:pPr>
              <w:spacing w:before="119" w:line="180" w:lineRule="auto"/>
              <w:jc w:val="center"/>
              <w:rPr>
                <w:rFonts w:hint="eastAsia"/>
                <w:sz w:val="18"/>
                <w:szCs w:val="18"/>
              </w:rPr>
            </w:pPr>
            <w:r>
              <w:rPr>
                <w:rFonts w:hint="eastAsia"/>
                <w:sz w:val="18"/>
                <w:szCs w:val="18"/>
              </w:rPr>
              <w:t>3.00 (76.2)</w:t>
            </w:r>
          </w:p>
        </w:tc>
        <w:tc>
          <w:tcPr>
            <w:tcW w:w="514" w:type="dxa"/>
            <w:vAlign w:val="top"/>
          </w:tcPr>
          <w:p>
            <w:pPr>
              <w:spacing w:before="119" w:line="180" w:lineRule="auto"/>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57" w:type="dxa"/>
            <w:vAlign w:val="top"/>
          </w:tcPr>
          <w:p>
            <w:pPr>
              <w:spacing w:before="119" w:line="180" w:lineRule="auto"/>
              <w:jc w:val="center"/>
              <w:rPr>
                <w:rFonts w:hint="eastAsia"/>
                <w:sz w:val="18"/>
                <w:szCs w:val="18"/>
              </w:rPr>
            </w:pPr>
            <w:r>
              <w:rPr>
                <w:rFonts w:hint="eastAsia"/>
                <w:sz w:val="18"/>
                <w:szCs w:val="18"/>
              </w:rPr>
              <w:t>0.22(5.6)</w:t>
            </w:r>
          </w:p>
        </w:tc>
        <w:tc>
          <w:tcPr>
            <w:tcW w:w="561" w:type="dxa"/>
            <w:vAlign w:val="top"/>
          </w:tcPr>
          <w:p>
            <w:pPr>
              <w:spacing w:before="119" w:line="180" w:lineRule="auto"/>
              <w:jc w:val="center"/>
              <w:rPr>
                <w:rFonts w:hint="eastAsia"/>
                <w:sz w:val="18"/>
                <w:szCs w:val="18"/>
              </w:rPr>
            </w:pPr>
            <w:r>
              <w:rPr>
                <w:rFonts w:hint="eastAsia"/>
                <w:sz w:val="18"/>
                <w:szCs w:val="18"/>
              </w:rPr>
              <w:t>4.95  (125.7)</w:t>
            </w:r>
          </w:p>
        </w:tc>
        <w:tc>
          <w:tcPr>
            <w:tcW w:w="505" w:type="dxa"/>
            <w:vAlign w:val="top"/>
          </w:tcPr>
          <w:p>
            <w:pPr>
              <w:spacing w:before="119" w:line="180" w:lineRule="auto"/>
              <w:jc w:val="center"/>
              <w:rPr>
                <w:rFonts w:hint="eastAsia"/>
                <w:sz w:val="18"/>
                <w:szCs w:val="18"/>
              </w:rPr>
            </w:pPr>
            <w:r>
              <w:rPr>
                <w:rFonts w:hint="eastAsia"/>
                <w:sz w:val="18"/>
                <w:szCs w:val="18"/>
              </w:rPr>
              <w:t>0.69 (17.5)</w:t>
            </w:r>
          </w:p>
        </w:tc>
        <w:tc>
          <w:tcPr>
            <w:tcW w:w="482" w:type="dxa"/>
            <w:vAlign w:val="top"/>
          </w:tcPr>
          <w:p>
            <w:pPr>
              <w:spacing w:before="119" w:line="180" w:lineRule="auto"/>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44" w:type="dxa"/>
            <w:tcBorders>
              <w:right w:val="nil"/>
            </w:tcBorders>
            <w:vAlign w:val="top"/>
          </w:tcPr>
          <w:p>
            <w:pPr>
              <w:spacing w:before="119" w:line="180" w:lineRule="auto"/>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3" w:hRule="atLeast"/>
        </w:trPr>
        <w:tc>
          <w:tcPr>
            <w:tcW w:w="1116" w:type="dxa"/>
            <w:tcBorders>
              <w:lef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V30SS-60S9-2</w:t>
            </w:r>
          </w:p>
        </w:tc>
        <w:tc>
          <w:tcPr>
            <w:tcW w:w="600" w:type="dxa"/>
            <w:vAlign w:val="top"/>
          </w:tcPr>
          <w:p>
            <w:pPr>
              <w:spacing w:before="119" w:line="180" w:lineRule="auto"/>
              <w:jc w:val="center"/>
              <w:rPr>
                <w:rFonts w:hint="eastAsia"/>
                <w:sz w:val="18"/>
                <w:szCs w:val="18"/>
              </w:rPr>
            </w:pPr>
            <w:r>
              <w:rPr>
                <w:rFonts w:hint="eastAsia"/>
                <w:sz w:val="18"/>
                <w:szCs w:val="18"/>
                <w:lang w:val="en-US" w:eastAsia="zh-CN"/>
              </w:rPr>
              <w:t>60S</w:t>
            </w:r>
            <w:r>
              <w:rPr>
                <w:rFonts w:hint="eastAsia"/>
                <w:sz w:val="18"/>
                <w:szCs w:val="18"/>
              </w:rPr>
              <w:t>9</w:t>
            </w:r>
          </w:p>
        </w:tc>
        <w:tc>
          <w:tcPr>
            <w:tcW w:w="655" w:type="dxa"/>
            <w:vAlign w:val="top"/>
          </w:tcPr>
          <w:p>
            <w:pPr>
              <w:spacing w:before="119" w:line="180" w:lineRule="auto"/>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81" w:type="dxa"/>
            <w:vAlign w:val="top"/>
          </w:tcPr>
          <w:p>
            <w:pPr>
              <w:spacing w:before="119" w:line="180" w:lineRule="auto"/>
              <w:jc w:val="center"/>
              <w:rPr>
                <w:rFonts w:hint="eastAsia"/>
                <w:sz w:val="18"/>
                <w:szCs w:val="18"/>
              </w:rPr>
            </w:pPr>
            <w:r>
              <w:rPr>
                <w:rFonts w:hint="eastAsia"/>
                <w:sz w:val="18"/>
                <w:szCs w:val="18"/>
              </w:rPr>
              <w:t>2.62 (66.6)</w:t>
            </w:r>
          </w:p>
        </w:tc>
        <w:tc>
          <w:tcPr>
            <w:tcW w:w="498" w:type="dxa"/>
            <w:vAlign w:val="top"/>
          </w:tcPr>
          <w:p>
            <w:pPr>
              <w:spacing w:before="119" w:line="180" w:lineRule="auto"/>
              <w:jc w:val="center"/>
              <w:rPr>
                <w:rFonts w:hint="eastAsia"/>
                <w:sz w:val="18"/>
                <w:szCs w:val="18"/>
              </w:rPr>
            </w:pPr>
            <w:r>
              <w:rPr>
                <w:rFonts w:hint="eastAsia"/>
                <w:sz w:val="18"/>
                <w:szCs w:val="18"/>
              </w:rPr>
              <w:t>1.31 (33.3)</w:t>
            </w:r>
          </w:p>
        </w:tc>
        <w:tc>
          <w:tcPr>
            <w:tcW w:w="505" w:type="dxa"/>
            <w:vAlign w:val="top"/>
          </w:tcPr>
          <w:p>
            <w:pPr>
              <w:spacing w:before="119" w:line="180" w:lineRule="auto"/>
              <w:jc w:val="center"/>
              <w:rPr>
                <w:rFonts w:hint="eastAsia"/>
                <w:sz w:val="18"/>
                <w:szCs w:val="18"/>
              </w:rPr>
            </w:pPr>
            <w:r>
              <w:rPr>
                <w:rFonts w:hint="eastAsia"/>
                <w:sz w:val="18"/>
                <w:szCs w:val="18"/>
              </w:rPr>
              <w:t>0.95 (24.1)</w:t>
            </w:r>
          </w:p>
        </w:tc>
        <w:tc>
          <w:tcPr>
            <w:tcW w:w="537" w:type="dxa"/>
            <w:tcBorders>
              <w:right w:val="single" w:color="000000" w:sz="2" w:space="0"/>
            </w:tcBorders>
            <w:vAlign w:val="top"/>
          </w:tcPr>
          <w:p>
            <w:pPr>
              <w:spacing w:before="119" w:line="180" w:lineRule="auto"/>
              <w:jc w:val="center"/>
              <w:rPr>
                <w:rFonts w:hint="eastAsia"/>
                <w:sz w:val="18"/>
                <w:szCs w:val="18"/>
              </w:rPr>
            </w:pPr>
            <w:r>
              <w:rPr>
                <w:rFonts w:hint="eastAsia"/>
                <w:sz w:val="18"/>
                <w:szCs w:val="18"/>
              </w:rPr>
              <w:t>1.12 (28.5)</w:t>
            </w:r>
          </w:p>
        </w:tc>
        <w:tc>
          <w:tcPr>
            <w:tcW w:w="458" w:type="dxa"/>
            <w:tcBorders>
              <w:tr2bl w:val="single" w:color="231F20" w:sz="4" w:space="0"/>
            </w:tcBorders>
            <w:vAlign w:val="top"/>
          </w:tcPr>
          <w:p>
            <w:pPr>
              <w:spacing w:before="119" w:line="180" w:lineRule="auto"/>
              <w:jc w:val="center"/>
              <w:rPr>
                <w:rFonts w:hint="eastAsia"/>
                <w:sz w:val="18"/>
                <w:szCs w:val="18"/>
              </w:rPr>
            </w:pPr>
          </w:p>
        </w:tc>
        <w:tc>
          <w:tcPr>
            <w:tcW w:w="529" w:type="dxa"/>
            <w:tcBorders>
              <w:left w:val="single" w:color="000000" w:sz="2" w:space="0"/>
            </w:tcBorders>
            <w:vAlign w:val="top"/>
          </w:tcPr>
          <w:p>
            <w:pPr>
              <w:spacing w:before="119" w:line="180" w:lineRule="auto"/>
              <w:jc w:val="center"/>
              <w:rPr>
                <w:rFonts w:hint="eastAsia"/>
                <w:sz w:val="18"/>
                <w:szCs w:val="18"/>
              </w:rPr>
            </w:pPr>
            <w:r>
              <w:rPr>
                <w:rFonts w:hint="eastAsia"/>
                <w:sz w:val="18"/>
                <w:szCs w:val="18"/>
              </w:rPr>
              <w:t>2.44 (62.0)</w:t>
            </w:r>
          </w:p>
        </w:tc>
        <w:tc>
          <w:tcPr>
            <w:tcW w:w="481" w:type="dxa"/>
            <w:vAlign w:val="top"/>
          </w:tcPr>
          <w:p>
            <w:pPr>
              <w:spacing w:before="119" w:line="180" w:lineRule="auto"/>
              <w:jc w:val="center"/>
              <w:rPr>
                <w:rFonts w:hint="eastAsia"/>
                <w:sz w:val="18"/>
                <w:szCs w:val="18"/>
              </w:rPr>
            </w:pPr>
            <w:r>
              <w:rPr>
                <w:rFonts w:hint="eastAsia"/>
                <w:sz w:val="18"/>
                <w:szCs w:val="18"/>
              </w:rPr>
              <w:t>3.00 (76.2)</w:t>
            </w:r>
          </w:p>
        </w:tc>
        <w:tc>
          <w:tcPr>
            <w:tcW w:w="514" w:type="dxa"/>
            <w:vAlign w:val="top"/>
          </w:tcPr>
          <w:p>
            <w:pPr>
              <w:spacing w:before="119" w:line="180" w:lineRule="auto"/>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 xml:space="preserve"> (25.4)</w:t>
            </w:r>
          </w:p>
        </w:tc>
        <w:tc>
          <w:tcPr>
            <w:tcW w:w="457" w:type="dxa"/>
            <w:vAlign w:val="top"/>
          </w:tcPr>
          <w:p>
            <w:pPr>
              <w:spacing w:before="119" w:line="180" w:lineRule="auto"/>
              <w:jc w:val="center"/>
              <w:rPr>
                <w:rFonts w:hint="eastAsia"/>
                <w:sz w:val="18"/>
                <w:szCs w:val="18"/>
              </w:rPr>
            </w:pPr>
            <w:r>
              <w:rPr>
                <w:rFonts w:hint="eastAsia"/>
                <w:sz w:val="18"/>
                <w:szCs w:val="18"/>
              </w:rPr>
              <w:t>0.28</w:t>
            </w:r>
            <w:r>
              <w:rPr>
                <w:rFonts w:hint="eastAsia"/>
                <w:sz w:val="18"/>
                <w:szCs w:val="18"/>
                <w:lang w:val="en-US" w:eastAsia="zh-CN"/>
              </w:rPr>
              <w:t xml:space="preserve"> </w:t>
            </w:r>
            <w:r>
              <w:rPr>
                <w:rFonts w:hint="eastAsia"/>
                <w:sz w:val="18"/>
                <w:szCs w:val="18"/>
              </w:rPr>
              <w:t>(7.1)</w:t>
            </w:r>
          </w:p>
        </w:tc>
        <w:tc>
          <w:tcPr>
            <w:tcW w:w="561" w:type="dxa"/>
            <w:vAlign w:val="top"/>
          </w:tcPr>
          <w:p>
            <w:pPr>
              <w:spacing w:before="119" w:line="180" w:lineRule="auto"/>
              <w:jc w:val="center"/>
              <w:rPr>
                <w:rFonts w:hint="eastAsia"/>
                <w:sz w:val="18"/>
                <w:szCs w:val="18"/>
              </w:rPr>
            </w:pPr>
            <w:r>
              <w:rPr>
                <w:rFonts w:hint="eastAsia"/>
                <w:sz w:val="18"/>
                <w:szCs w:val="18"/>
              </w:rPr>
              <w:t>5.13  (130.3)</w:t>
            </w:r>
          </w:p>
        </w:tc>
        <w:tc>
          <w:tcPr>
            <w:tcW w:w="505" w:type="dxa"/>
            <w:vAlign w:val="top"/>
          </w:tcPr>
          <w:p>
            <w:pPr>
              <w:spacing w:before="119" w:line="180" w:lineRule="auto"/>
              <w:jc w:val="center"/>
              <w:rPr>
                <w:rFonts w:hint="eastAsia"/>
                <w:sz w:val="18"/>
                <w:szCs w:val="18"/>
              </w:rPr>
            </w:pPr>
            <w:r>
              <w:rPr>
                <w:rFonts w:hint="eastAsia"/>
                <w:sz w:val="18"/>
                <w:szCs w:val="18"/>
              </w:rPr>
              <w:t>0.69 (17.5)</w:t>
            </w:r>
          </w:p>
        </w:tc>
        <w:tc>
          <w:tcPr>
            <w:tcW w:w="482" w:type="dxa"/>
            <w:vAlign w:val="top"/>
          </w:tcPr>
          <w:p>
            <w:pPr>
              <w:spacing w:before="119" w:line="180" w:lineRule="auto"/>
              <w:jc w:val="center"/>
              <w:rPr>
                <w:rFonts w:hint="eastAsia"/>
                <w:sz w:val="18"/>
                <w:szCs w:val="18"/>
              </w:rPr>
            </w:pPr>
            <w:r>
              <w:rPr>
                <w:rFonts w:hint="eastAsia"/>
                <w:sz w:val="18"/>
                <w:szCs w:val="18"/>
              </w:rPr>
              <w:t>0.38</w:t>
            </w:r>
            <w:r>
              <w:rPr>
                <w:rFonts w:hint="eastAsia"/>
                <w:sz w:val="18"/>
                <w:szCs w:val="18"/>
                <w:lang w:val="en-US" w:eastAsia="zh-CN"/>
              </w:rPr>
              <w:t xml:space="preserve"> </w:t>
            </w:r>
            <w:r>
              <w:rPr>
                <w:rFonts w:hint="eastAsia"/>
                <w:sz w:val="18"/>
                <w:szCs w:val="18"/>
              </w:rPr>
              <w:t>(9.7)</w:t>
            </w:r>
          </w:p>
        </w:tc>
        <w:tc>
          <w:tcPr>
            <w:tcW w:w="844" w:type="dxa"/>
            <w:tcBorders>
              <w:right w:val="nil"/>
            </w:tcBorders>
            <w:vAlign w:val="top"/>
          </w:tcPr>
          <w:p>
            <w:pPr>
              <w:spacing w:before="119" w:line="180" w:lineRule="auto"/>
              <w:jc w:val="center"/>
              <w:rPr>
                <w:rFonts w:hint="eastAsia"/>
                <w:sz w:val="18"/>
                <w:szCs w:val="18"/>
              </w:rPr>
            </w:pPr>
            <w:r>
              <w:rPr>
                <w:rFonts w:hint="eastAsia"/>
                <w:sz w:val="18"/>
                <w:szCs w:val="18"/>
              </w:rPr>
              <w:t>1.50</w:t>
            </w:r>
            <w:r>
              <w:rPr>
                <w:rFonts w:hint="eastAsia"/>
                <w:sz w:val="18"/>
                <w:szCs w:val="18"/>
                <w:lang w:val="en-US" w:eastAsia="zh-CN"/>
              </w:rPr>
              <w:t xml:space="preserve">  </w:t>
            </w:r>
            <w:r>
              <w:rPr>
                <w:rFonts w:hint="eastAsia"/>
                <w:sz w:val="18"/>
                <w:szCs w:val="18"/>
              </w:rPr>
              <w:t>(38.1)</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角型(可更换阀座</w:t>
      </w:r>
      <w:r>
        <w:rPr>
          <w:rFonts w:hint="default" w:ascii="宋体" w:hAnsi="宋体" w:eastAsia="宋体" w:cs="宋体"/>
          <w:color w:val="000000"/>
          <w:kern w:val="0"/>
          <w:sz w:val="21"/>
          <w:szCs w:val="21"/>
          <w:lang w:val="en-US" w:eastAsia="zh-CN" w:bidi="ar"/>
        </w:rPr>
        <w:t xml:space="preserve">) </w:t>
      </w:r>
    </w:p>
    <w:tbl>
      <w:tblPr>
        <w:tblStyle w:val="16"/>
        <w:tblpPr w:leftFromText="180" w:rightFromText="180" w:vertAnchor="text" w:horzAnchor="page" w:tblpX="1696" w:tblpY="53"/>
        <w:tblOverlap w:val="never"/>
        <w:tblW w:w="9186" w:type="dxa"/>
        <w:tblInd w:w="-49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34"/>
        <w:gridCol w:w="592"/>
        <w:gridCol w:w="663"/>
        <w:gridCol w:w="473"/>
        <w:gridCol w:w="498"/>
        <w:gridCol w:w="513"/>
        <w:gridCol w:w="513"/>
        <w:gridCol w:w="474"/>
        <w:gridCol w:w="529"/>
        <w:gridCol w:w="481"/>
        <w:gridCol w:w="514"/>
        <w:gridCol w:w="465"/>
        <w:gridCol w:w="553"/>
        <w:gridCol w:w="497"/>
        <w:gridCol w:w="474"/>
        <w:gridCol w:w="81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9" w:hRule="exact"/>
        </w:trPr>
        <w:tc>
          <w:tcPr>
            <w:tcW w:w="1134" w:type="dxa"/>
            <w:vMerge w:val="restart"/>
            <w:tcBorders>
              <w:left w:val="nil"/>
              <w:bottom w:val="nil"/>
            </w:tcBorders>
            <w:vAlign w:val="center"/>
          </w:tcPr>
          <w:p>
            <w:pPr>
              <w:spacing w:before="119" w:line="180" w:lineRule="auto"/>
              <w:jc w:val="center"/>
              <w:rPr>
                <w:rFonts w:ascii="黑体" w:hAnsi="黑体" w:eastAsia="黑体" w:cs="黑体"/>
                <w:sz w:val="16"/>
                <w:szCs w:val="16"/>
              </w:rPr>
            </w:pPr>
            <w:r>
              <w:rPr>
                <w:rFonts w:hint="eastAsia" w:ascii="Times New Roman" w:hAnsi="Times New Roman" w:eastAsia="宋体" w:cs="Times New Roman"/>
                <w:kern w:val="2"/>
                <w:sz w:val="18"/>
                <w:szCs w:val="18"/>
                <w:lang w:val="en-US" w:eastAsia="zh-CN" w:bidi="ar-SA"/>
              </w:rPr>
              <w:t>产品型号</w:t>
            </w:r>
          </w:p>
        </w:tc>
        <w:tc>
          <w:tcPr>
            <w:tcW w:w="592" w:type="dxa"/>
            <w:vMerge w:val="restart"/>
            <w:tcBorders>
              <w:bottom w:val="nil"/>
            </w:tcBorders>
            <w:vAlign w:val="top"/>
          </w:tcPr>
          <w:p>
            <w:pPr>
              <w:spacing w:before="244" w:line="210" w:lineRule="auto"/>
              <w:jc w:val="center"/>
              <w:rPr>
                <w:rFonts w:ascii="黑体" w:hAnsi="黑体" w:eastAsia="黑体" w:cs="黑体"/>
                <w:sz w:val="16"/>
                <w:szCs w:val="16"/>
              </w:rPr>
            </w:pPr>
            <w:r>
              <w:rPr>
                <w:rFonts w:ascii="黑体" w:hAnsi="黑体" w:eastAsia="黑体" w:cs="黑体"/>
                <w:color w:val="231F20"/>
                <w:spacing w:val="-3"/>
                <w:sz w:val="18"/>
                <w:szCs w:val="18"/>
              </w:rPr>
              <w:t>接口尺寸</w:t>
            </w:r>
            <w:r>
              <w:rPr>
                <w:rFonts w:hint="eastAsia" w:ascii="黑体" w:hAnsi="黑体" w:eastAsia="黑体" w:cs="黑体"/>
                <w:color w:val="231F20"/>
                <w:spacing w:val="-3"/>
                <w:sz w:val="18"/>
                <w:szCs w:val="18"/>
                <w:lang w:val="en-US" w:eastAsia="zh-CN"/>
              </w:rPr>
              <w:t>代号</w:t>
            </w:r>
          </w:p>
        </w:tc>
        <w:tc>
          <w:tcPr>
            <w:tcW w:w="663" w:type="dxa"/>
            <w:vMerge w:val="restart"/>
            <w:tcBorders>
              <w:bottom w:val="nil"/>
            </w:tcBorders>
            <w:vAlign w:val="top"/>
          </w:tcPr>
          <w:p>
            <w:pPr>
              <w:spacing w:before="244" w:line="210" w:lineRule="auto"/>
              <w:jc w:val="center"/>
              <w:rPr>
                <w:rFonts w:ascii="黑体" w:hAnsi="黑体" w:eastAsia="黑体" w:cs="黑体"/>
                <w:sz w:val="15"/>
                <w:szCs w:val="15"/>
              </w:rPr>
            </w:pPr>
            <w:r>
              <w:rPr>
                <w:rFonts w:ascii="黑体" w:hAnsi="黑体" w:eastAsia="黑体" w:cs="黑体"/>
                <w:color w:val="231F20"/>
                <w:spacing w:val="-3"/>
                <w:sz w:val="18"/>
                <w:szCs w:val="18"/>
              </w:rPr>
              <w:t>内通径in. (mm)</w:t>
            </w:r>
          </w:p>
        </w:tc>
        <w:tc>
          <w:tcPr>
            <w:tcW w:w="6797" w:type="dxa"/>
            <w:gridSpan w:val="13"/>
            <w:tcBorders>
              <w:right w:val="nil"/>
            </w:tcBorders>
            <w:vAlign w:val="top"/>
          </w:tcPr>
          <w:p>
            <w:pPr>
              <w:spacing w:before="86" w:line="210" w:lineRule="auto"/>
              <w:ind w:firstLine="92"/>
              <w:jc w:val="center"/>
              <w:rPr>
                <w:rFonts w:ascii="黑体" w:hAnsi="黑体" w:eastAsia="黑体" w:cs="黑体"/>
                <w:color w:val="231F20"/>
                <w:spacing w:val="-4"/>
                <w:sz w:val="18"/>
                <w:szCs w:val="18"/>
              </w:rPr>
            </w:pPr>
            <w:r>
              <w:rPr>
                <w:rFonts w:ascii="黑体" w:hAnsi="黑体" w:eastAsia="黑体" w:cs="黑体"/>
                <w:color w:val="231F20"/>
                <w:spacing w:val="-4"/>
                <w:sz w:val="18"/>
                <w:szCs w:val="18"/>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exact"/>
        </w:trPr>
        <w:tc>
          <w:tcPr>
            <w:tcW w:w="1134" w:type="dxa"/>
            <w:vMerge w:val="continue"/>
            <w:tcBorders>
              <w:top w:val="nil"/>
              <w:left w:val="nil"/>
            </w:tcBorders>
            <w:vAlign w:val="top"/>
          </w:tcPr>
          <w:p>
            <w:pPr>
              <w:jc w:val="center"/>
              <w:rPr>
                <w:rFonts w:ascii="黑体"/>
                <w:sz w:val="21"/>
              </w:rPr>
            </w:pPr>
          </w:p>
        </w:tc>
        <w:tc>
          <w:tcPr>
            <w:tcW w:w="592" w:type="dxa"/>
            <w:vMerge w:val="continue"/>
            <w:tcBorders>
              <w:top w:val="nil"/>
            </w:tcBorders>
            <w:vAlign w:val="top"/>
          </w:tcPr>
          <w:p>
            <w:pPr>
              <w:jc w:val="center"/>
              <w:rPr>
                <w:rFonts w:ascii="黑体"/>
                <w:sz w:val="21"/>
              </w:rPr>
            </w:pPr>
          </w:p>
        </w:tc>
        <w:tc>
          <w:tcPr>
            <w:tcW w:w="663" w:type="dxa"/>
            <w:vMerge w:val="continue"/>
            <w:tcBorders>
              <w:top w:val="nil"/>
            </w:tcBorders>
            <w:vAlign w:val="top"/>
          </w:tcPr>
          <w:p>
            <w:pPr>
              <w:rPr>
                <w:rFonts w:ascii="黑体"/>
                <w:sz w:val="21"/>
              </w:rPr>
            </w:pPr>
          </w:p>
        </w:tc>
        <w:tc>
          <w:tcPr>
            <w:tcW w:w="47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6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5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49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13"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86"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V30SS-60S4-3</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4</w:t>
            </w:r>
          </w:p>
        </w:tc>
        <w:tc>
          <w:tcPr>
            <w:tcW w:w="663" w:type="dxa"/>
            <w:vAlign w:val="top"/>
          </w:tcPr>
          <w:p>
            <w:pPr>
              <w:spacing w:before="119" w:line="240" w:lineRule="auto"/>
              <w:ind w:left="0" w:leftChars="0"/>
              <w:jc w:val="center"/>
              <w:rPr>
                <w:rFonts w:hint="eastAsia"/>
                <w:sz w:val="18"/>
                <w:szCs w:val="18"/>
              </w:rPr>
            </w:pPr>
            <w:r>
              <w:rPr>
                <w:rFonts w:hint="eastAsia"/>
                <w:sz w:val="18"/>
                <w:szCs w:val="18"/>
              </w:rPr>
              <w:t>0.094</w:t>
            </w:r>
            <w:r>
              <w:rPr>
                <w:rFonts w:hint="eastAsia"/>
                <w:sz w:val="18"/>
                <w:szCs w:val="18"/>
                <w:lang w:val="en-US" w:eastAsia="zh-CN"/>
              </w:rPr>
              <w:t xml:space="preserve"> </w:t>
            </w:r>
            <w:r>
              <w:rPr>
                <w:rFonts w:hint="eastAsia"/>
                <w:sz w:val="18"/>
                <w:szCs w:val="18"/>
              </w:rPr>
              <w:t>(2.39)</w:t>
            </w:r>
          </w:p>
        </w:tc>
        <w:tc>
          <w:tcPr>
            <w:tcW w:w="473"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98" w:type="dxa"/>
            <w:vAlign w:val="top"/>
          </w:tcPr>
          <w:p>
            <w:pPr>
              <w:spacing w:before="119" w:line="240" w:lineRule="auto"/>
              <w:ind w:left="0" w:leftChars="0"/>
              <w:jc w:val="center"/>
              <w:rPr>
                <w:rFonts w:hint="eastAsia"/>
                <w:sz w:val="18"/>
                <w:szCs w:val="18"/>
              </w:rPr>
            </w:pPr>
            <w:r>
              <w:rPr>
                <w:rFonts w:hint="eastAsia"/>
                <w:sz w:val="18"/>
                <w:szCs w:val="18"/>
              </w:rPr>
              <w:t>1.00 (25.4)</w:t>
            </w:r>
          </w:p>
        </w:tc>
        <w:tc>
          <w:tcPr>
            <w:tcW w:w="513" w:type="dxa"/>
            <w:vAlign w:val="top"/>
          </w:tcPr>
          <w:p>
            <w:pPr>
              <w:spacing w:before="119" w:line="240" w:lineRule="auto"/>
              <w:ind w:left="0" w:leftChars="0"/>
              <w:jc w:val="center"/>
              <w:rPr>
                <w:rFonts w:hint="eastAsia"/>
                <w:sz w:val="18"/>
                <w:szCs w:val="18"/>
              </w:rPr>
            </w:pPr>
            <w:r>
              <w:rPr>
                <w:rFonts w:hint="eastAsia"/>
                <w:sz w:val="18"/>
                <w:szCs w:val="18"/>
              </w:rPr>
              <w:t>0.47 (11.9)</w:t>
            </w:r>
          </w:p>
        </w:tc>
        <w:tc>
          <w:tcPr>
            <w:tcW w:w="513" w:type="dxa"/>
            <w:vAlign w:val="center"/>
          </w:tcPr>
          <w:p>
            <w:pPr>
              <w:spacing w:before="119" w:line="180" w:lineRule="auto"/>
              <w:jc w:val="center"/>
              <w:rPr>
                <w:rFonts w:hint="eastAsia"/>
                <w:sz w:val="18"/>
                <w:szCs w:val="18"/>
              </w:rPr>
            </w:pPr>
            <w:r>
              <w:rPr>
                <w:rFonts w:hint="eastAsia"/>
                <w:sz w:val="18"/>
                <w:szCs w:val="18"/>
                <w:lang w:val="en-US" w:eastAsia="zh-CN"/>
              </w:rPr>
              <w:t>1.12 (28.5)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2.06 (52.3)</w:t>
            </w:r>
          </w:p>
        </w:tc>
        <w:tc>
          <w:tcPr>
            <w:tcW w:w="529" w:type="dxa"/>
            <w:vAlign w:val="center"/>
          </w:tcPr>
          <w:p>
            <w:pPr>
              <w:spacing w:before="119" w:line="180" w:lineRule="auto"/>
              <w:jc w:val="center"/>
              <w:rPr>
                <w:rFonts w:hint="eastAsia"/>
                <w:sz w:val="18"/>
                <w:szCs w:val="18"/>
              </w:rPr>
            </w:pPr>
            <w:r>
              <w:rPr>
                <w:rFonts w:hint="eastAsia"/>
                <w:sz w:val="18"/>
                <w:szCs w:val="18"/>
                <w:lang w:val="en-US" w:eastAsia="zh-CN"/>
              </w:rPr>
              <w:t>2.38 (60.5)</w:t>
            </w:r>
          </w:p>
        </w:tc>
        <w:tc>
          <w:tcPr>
            <w:tcW w:w="481" w:type="dxa"/>
            <w:vAlign w:val="center"/>
          </w:tcPr>
          <w:p>
            <w:pPr>
              <w:spacing w:before="119" w:line="180" w:lineRule="auto"/>
              <w:jc w:val="center"/>
              <w:rPr>
                <w:rFonts w:hint="eastAsia"/>
                <w:sz w:val="18"/>
                <w:szCs w:val="18"/>
              </w:rPr>
            </w:pPr>
            <w:r>
              <w:rPr>
                <w:rFonts w:hint="eastAsia"/>
                <w:sz w:val="18"/>
                <w:szCs w:val="18"/>
                <w:lang w:val="en-US" w:eastAsia="zh-CN"/>
              </w:rPr>
              <w:t>3.00 (76.2)</w:t>
            </w:r>
          </w:p>
        </w:tc>
        <w:tc>
          <w:tcPr>
            <w:tcW w:w="514" w:type="dxa"/>
            <w:vAlign w:val="center"/>
          </w:tcPr>
          <w:p>
            <w:pPr>
              <w:spacing w:before="119" w:line="180" w:lineRule="auto"/>
              <w:jc w:val="center"/>
              <w:rPr>
                <w:rFonts w:hint="eastAsia"/>
                <w:sz w:val="18"/>
                <w:szCs w:val="18"/>
              </w:rPr>
            </w:pPr>
            <w:r>
              <w:rPr>
                <w:rFonts w:hint="eastAsia"/>
                <w:sz w:val="18"/>
                <w:szCs w:val="18"/>
                <w:lang w:val="en-US" w:eastAsia="zh-CN"/>
              </w:rPr>
              <w:t xml:space="preserve">1.00 </w:t>
            </w:r>
            <w:r>
              <w:rPr>
                <w:rFonts w:hint="eastAsia"/>
                <w:sz w:val="18"/>
                <w:szCs w:val="18"/>
                <w:lang w:val="en-US" w:eastAsia="zh-CN"/>
              </w:rPr>
              <w:br w:type="textWrapping"/>
            </w:r>
            <w:r>
              <w:rPr>
                <w:rFonts w:hint="eastAsia"/>
                <w:sz w:val="18"/>
                <w:szCs w:val="18"/>
                <w:lang w:val="en-US" w:eastAsia="zh-CN"/>
              </w:rPr>
              <w:t>(25.4)</w:t>
            </w:r>
          </w:p>
        </w:tc>
        <w:tc>
          <w:tcPr>
            <w:tcW w:w="465" w:type="dxa"/>
            <w:vAlign w:val="center"/>
          </w:tcPr>
          <w:p>
            <w:pPr>
              <w:spacing w:before="119" w:line="180" w:lineRule="auto"/>
              <w:jc w:val="center"/>
              <w:rPr>
                <w:rFonts w:hint="eastAsia"/>
                <w:sz w:val="18"/>
                <w:szCs w:val="18"/>
              </w:rPr>
            </w:pPr>
            <w:r>
              <w:rPr>
                <w:rFonts w:hint="eastAsia"/>
                <w:sz w:val="18"/>
                <w:szCs w:val="18"/>
                <w:lang w:val="en-US" w:eastAsia="zh-CN"/>
              </w:rPr>
              <w:t>0.22 (5.6)</w:t>
            </w:r>
          </w:p>
        </w:tc>
        <w:tc>
          <w:tcPr>
            <w:tcW w:w="553" w:type="dxa"/>
            <w:vAlign w:val="center"/>
          </w:tcPr>
          <w:p>
            <w:pPr>
              <w:spacing w:before="119" w:line="180" w:lineRule="auto"/>
              <w:jc w:val="center"/>
              <w:rPr>
                <w:rFonts w:hint="eastAsia"/>
                <w:sz w:val="18"/>
                <w:szCs w:val="18"/>
              </w:rPr>
            </w:pPr>
            <w:r>
              <w:rPr>
                <w:rFonts w:hint="eastAsia"/>
                <w:sz w:val="18"/>
                <w:szCs w:val="18"/>
                <w:lang w:val="en-US" w:eastAsia="zh-CN"/>
              </w:rPr>
              <w:t xml:space="preserve">5.88 </w:t>
            </w:r>
            <w:r>
              <w:rPr>
                <w:rFonts w:hint="eastAsia"/>
                <w:sz w:val="18"/>
                <w:szCs w:val="18"/>
                <w:lang w:val="en-US" w:eastAsia="zh-CN"/>
              </w:rPr>
              <w:br w:type="textWrapping"/>
            </w:r>
            <w:r>
              <w:rPr>
                <w:rFonts w:hint="eastAsia"/>
                <w:sz w:val="18"/>
                <w:szCs w:val="18"/>
                <w:lang w:val="en-US" w:eastAsia="zh-CN"/>
              </w:rPr>
              <w:t>(149.2)</w:t>
            </w:r>
          </w:p>
        </w:tc>
        <w:tc>
          <w:tcPr>
            <w:tcW w:w="497" w:type="dxa"/>
            <w:vAlign w:val="center"/>
          </w:tcPr>
          <w:p>
            <w:pPr>
              <w:spacing w:before="119" w:line="180" w:lineRule="auto"/>
              <w:jc w:val="center"/>
              <w:rPr>
                <w:rFonts w:hint="eastAsia"/>
                <w:sz w:val="18"/>
                <w:szCs w:val="18"/>
              </w:rPr>
            </w:pPr>
            <w:r>
              <w:rPr>
                <w:rFonts w:hint="eastAsia"/>
                <w:sz w:val="18"/>
                <w:szCs w:val="18"/>
                <w:lang w:val="en-US" w:eastAsia="zh-CN"/>
              </w:rPr>
              <w:t>0.69 (17.5)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w:t>
            </w:r>
            <w:r>
              <w:rPr>
                <w:rFonts w:hint="eastAsia"/>
                <w:sz w:val="18"/>
                <w:szCs w:val="18"/>
                <w:lang w:val="en-US" w:eastAsia="zh-CN"/>
              </w:rPr>
              <w:t xml:space="preserve">0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20"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V30SS-60S6-3</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6</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top"/>
          </w:tcPr>
          <w:p>
            <w:pPr>
              <w:spacing w:before="119" w:line="240" w:lineRule="auto"/>
              <w:ind w:left="0" w:leftChars="0"/>
              <w:jc w:val="center"/>
              <w:rPr>
                <w:rFonts w:hint="eastAsia"/>
                <w:sz w:val="18"/>
                <w:szCs w:val="18"/>
              </w:rPr>
            </w:pPr>
            <w:r>
              <w:rPr>
                <w:rFonts w:hint="eastAsia"/>
                <w:sz w:val="18"/>
                <w:szCs w:val="18"/>
              </w:rPr>
              <w:t>2.00 (50.8)</w:t>
            </w:r>
          </w:p>
        </w:tc>
        <w:tc>
          <w:tcPr>
            <w:tcW w:w="498" w:type="dxa"/>
            <w:vAlign w:val="top"/>
          </w:tcPr>
          <w:p>
            <w:pPr>
              <w:spacing w:before="119" w:line="240" w:lineRule="auto"/>
              <w:ind w:left="0" w:leftChars="0"/>
              <w:jc w:val="center"/>
              <w:rPr>
                <w:rFonts w:hint="eastAsia"/>
                <w:sz w:val="18"/>
                <w:szCs w:val="18"/>
              </w:rPr>
            </w:pPr>
            <w:r>
              <w:rPr>
                <w:rFonts w:hint="eastAsia"/>
                <w:sz w:val="18"/>
                <w:szCs w:val="18"/>
              </w:rPr>
              <w:t>1.00 (25.4)</w:t>
            </w:r>
          </w:p>
        </w:tc>
        <w:tc>
          <w:tcPr>
            <w:tcW w:w="513" w:type="dxa"/>
            <w:vAlign w:val="top"/>
          </w:tcPr>
          <w:p>
            <w:pPr>
              <w:spacing w:before="119" w:line="240" w:lineRule="auto"/>
              <w:ind w:left="0" w:leftChars="0"/>
              <w:jc w:val="center"/>
              <w:rPr>
                <w:rFonts w:hint="eastAsia"/>
                <w:sz w:val="18"/>
                <w:szCs w:val="18"/>
              </w:rPr>
            </w:pPr>
            <w:r>
              <w:rPr>
                <w:rFonts w:hint="eastAsia"/>
                <w:sz w:val="18"/>
                <w:szCs w:val="18"/>
              </w:rPr>
              <w:t>0.61 (15.6)</w:t>
            </w:r>
          </w:p>
        </w:tc>
        <w:tc>
          <w:tcPr>
            <w:tcW w:w="513" w:type="dxa"/>
            <w:vAlign w:val="center"/>
          </w:tcPr>
          <w:p>
            <w:pPr>
              <w:spacing w:before="119" w:line="180" w:lineRule="auto"/>
              <w:jc w:val="center"/>
              <w:rPr>
                <w:rFonts w:hint="eastAsia"/>
                <w:sz w:val="18"/>
                <w:szCs w:val="18"/>
              </w:rPr>
            </w:pPr>
            <w:r>
              <w:rPr>
                <w:rFonts w:hint="eastAsia"/>
                <w:sz w:val="18"/>
                <w:szCs w:val="18"/>
                <w:lang w:val="en-US" w:eastAsia="zh-CN"/>
              </w:rPr>
              <w:t>1.12 (28.5)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2.31 (58.67)</w:t>
            </w:r>
          </w:p>
        </w:tc>
        <w:tc>
          <w:tcPr>
            <w:tcW w:w="529" w:type="dxa"/>
            <w:vAlign w:val="center"/>
          </w:tcPr>
          <w:p>
            <w:pPr>
              <w:spacing w:before="119" w:line="180" w:lineRule="auto"/>
              <w:jc w:val="center"/>
              <w:rPr>
                <w:rFonts w:hint="eastAsia"/>
                <w:sz w:val="18"/>
                <w:szCs w:val="18"/>
              </w:rPr>
            </w:pPr>
            <w:r>
              <w:rPr>
                <w:rFonts w:hint="eastAsia"/>
                <w:sz w:val="18"/>
                <w:szCs w:val="18"/>
                <w:lang w:val="en-US" w:eastAsia="zh-CN"/>
              </w:rPr>
              <w:t>2.38 (60.5)</w:t>
            </w:r>
          </w:p>
        </w:tc>
        <w:tc>
          <w:tcPr>
            <w:tcW w:w="481" w:type="dxa"/>
            <w:vAlign w:val="center"/>
          </w:tcPr>
          <w:p>
            <w:pPr>
              <w:spacing w:before="119" w:line="180" w:lineRule="auto"/>
              <w:jc w:val="center"/>
              <w:rPr>
                <w:rFonts w:hint="eastAsia"/>
                <w:sz w:val="18"/>
                <w:szCs w:val="18"/>
              </w:rPr>
            </w:pPr>
            <w:r>
              <w:rPr>
                <w:rFonts w:hint="eastAsia"/>
                <w:sz w:val="18"/>
                <w:szCs w:val="18"/>
                <w:lang w:val="en-US" w:eastAsia="zh-CN"/>
              </w:rPr>
              <w:t>3.00 (76.2)</w:t>
            </w:r>
          </w:p>
        </w:tc>
        <w:tc>
          <w:tcPr>
            <w:tcW w:w="514" w:type="dxa"/>
            <w:vAlign w:val="center"/>
          </w:tcPr>
          <w:p>
            <w:pPr>
              <w:spacing w:before="119" w:line="180" w:lineRule="auto"/>
              <w:jc w:val="center"/>
              <w:rPr>
                <w:rFonts w:hint="eastAsia"/>
                <w:sz w:val="18"/>
                <w:szCs w:val="18"/>
              </w:rPr>
            </w:pPr>
            <w:r>
              <w:rPr>
                <w:rFonts w:hint="eastAsia"/>
                <w:sz w:val="18"/>
                <w:szCs w:val="18"/>
                <w:lang w:val="en-US" w:eastAsia="zh-CN"/>
              </w:rPr>
              <w:t xml:space="preserve">1.00 </w:t>
            </w:r>
            <w:r>
              <w:rPr>
                <w:rFonts w:hint="eastAsia"/>
                <w:sz w:val="18"/>
                <w:szCs w:val="18"/>
                <w:lang w:val="en-US" w:eastAsia="zh-CN"/>
              </w:rPr>
              <w:br w:type="textWrapping"/>
            </w:r>
            <w:r>
              <w:rPr>
                <w:rFonts w:hint="eastAsia"/>
                <w:sz w:val="18"/>
                <w:szCs w:val="18"/>
                <w:lang w:val="en-US" w:eastAsia="zh-CN"/>
              </w:rPr>
              <w:t>(25.4)</w:t>
            </w:r>
          </w:p>
        </w:tc>
        <w:tc>
          <w:tcPr>
            <w:tcW w:w="465" w:type="dxa"/>
            <w:vAlign w:val="center"/>
          </w:tcPr>
          <w:p>
            <w:pPr>
              <w:spacing w:before="119" w:line="180" w:lineRule="auto"/>
              <w:jc w:val="center"/>
              <w:rPr>
                <w:rFonts w:hint="eastAsia"/>
                <w:sz w:val="18"/>
                <w:szCs w:val="18"/>
              </w:rPr>
            </w:pPr>
            <w:r>
              <w:rPr>
                <w:rFonts w:hint="eastAsia"/>
                <w:sz w:val="18"/>
                <w:szCs w:val="18"/>
                <w:lang w:val="en-US" w:eastAsia="zh-CN"/>
              </w:rPr>
              <w:t xml:space="preserve">0.22 </w:t>
            </w:r>
            <w:r>
              <w:rPr>
                <w:rFonts w:hint="eastAsia"/>
                <w:sz w:val="18"/>
                <w:szCs w:val="18"/>
                <w:lang w:val="en-US" w:eastAsia="zh-CN"/>
              </w:rPr>
              <w:br w:type="textWrapping"/>
            </w:r>
            <w:r>
              <w:rPr>
                <w:rFonts w:hint="eastAsia"/>
                <w:sz w:val="18"/>
                <w:szCs w:val="18"/>
                <w:lang w:val="en-US" w:eastAsia="zh-CN"/>
              </w:rPr>
              <w:t>(5.6)</w:t>
            </w:r>
          </w:p>
        </w:tc>
        <w:tc>
          <w:tcPr>
            <w:tcW w:w="553" w:type="dxa"/>
            <w:vAlign w:val="center"/>
          </w:tcPr>
          <w:p>
            <w:pPr>
              <w:spacing w:before="119" w:line="180" w:lineRule="auto"/>
              <w:jc w:val="center"/>
              <w:rPr>
                <w:rFonts w:hint="eastAsia"/>
                <w:sz w:val="18"/>
                <w:szCs w:val="18"/>
              </w:rPr>
            </w:pPr>
            <w:r>
              <w:rPr>
                <w:rFonts w:hint="eastAsia"/>
                <w:sz w:val="18"/>
                <w:szCs w:val="18"/>
                <w:lang w:val="en-US" w:eastAsia="zh-CN"/>
              </w:rPr>
              <w:t>6.12</w:t>
            </w:r>
            <w:r>
              <w:rPr>
                <w:rFonts w:hint="eastAsia"/>
                <w:sz w:val="18"/>
                <w:szCs w:val="18"/>
                <w:lang w:val="en-US" w:eastAsia="zh-CN"/>
              </w:rPr>
              <w:br w:type="textWrapping"/>
            </w:r>
            <w:r>
              <w:rPr>
                <w:rFonts w:hint="eastAsia"/>
                <w:sz w:val="18"/>
                <w:szCs w:val="18"/>
                <w:lang w:val="en-US" w:eastAsia="zh-CN"/>
              </w:rPr>
              <w:t>(155.4)</w:t>
            </w:r>
          </w:p>
        </w:tc>
        <w:tc>
          <w:tcPr>
            <w:tcW w:w="497" w:type="dxa"/>
            <w:vAlign w:val="center"/>
          </w:tcPr>
          <w:p>
            <w:pPr>
              <w:spacing w:before="119" w:line="180" w:lineRule="auto"/>
              <w:jc w:val="center"/>
              <w:rPr>
                <w:rFonts w:hint="eastAsia"/>
                <w:sz w:val="18"/>
                <w:szCs w:val="18"/>
              </w:rPr>
            </w:pPr>
            <w:r>
              <w:rPr>
                <w:rFonts w:hint="eastAsia"/>
                <w:sz w:val="18"/>
                <w:szCs w:val="18"/>
                <w:lang w:val="en-US" w:eastAsia="zh-CN"/>
              </w:rPr>
              <w:t xml:space="preserve">0.69 </w:t>
            </w:r>
            <w:r>
              <w:rPr>
                <w:rFonts w:hint="eastAsia"/>
                <w:sz w:val="18"/>
                <w:szCs w:val="18"/>
                <w:lang w:val="en-US" w:eastAsia="zh-CN"/>
              </w:rPr>
              <w:br w:type="textWrapping"/>
            </w:r>
            <w:r>
              <w:rPr>
                <w:rFonts w:hint="eastAsia"/>
                <w:sz w:val="18"/>
                <w:szCs w:val="18"/>
                <w:lang w:val="en-US" w:eastAsia="zh-CN"/>
              </w:rPr>
              <w:t>(17.5)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 xml:space="preserve">0.38 </w:t>
            </w:r>
            <w:r>
              <w:rPr>
                <w:rFonts w:hint="eastAsia"/>
                <w:sz w:val="18"/>
                <w:szCs w:val="18"/>
                <w:lang w:val="en-US" w:eastAsia="zh-CN"/>
              </w:rPr>
              <w:br w:type="textWrapping"/>
            </w:r>
            <w:r>
              <w:rPr>
                <w:rFonts w:hint="eastAsia"/>
                <w:sz w:val="18"/>
                <w:szCs w:val="18"/>
                <w:lang w:val="en-US" w:eastAsia="zh-CN"/>
              </w:rPr>
              <w:t>(9.7)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9"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V30SS-60S9-3</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9</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top"/>
          </w:tcPr>
          <w:p>
            <w:pPr>
              <w:spacing w:before="119" w:line="240" w:lineRule="auto"/>
              <w:ind w:left="0" w:leftChars="0"/>
              <w:jc w:val="center"/>
              <w:rPr>
                <w:rFonts w:hint="eastAsia"/>
                <w:sz w:val="18"/>
                <w:szCs w:val="18"/>
              </w:rPr>
            </w:pPr>
            <w:r>
              <w:rPr>
                <w:rFonts w:hint="eastAsia"/>
                <w:sz w:val="18"/>
                <w:szCs w:val="18"/>
              </w:rPr>
              <w:t>2.62 (66.6)</w:t>
            </w:r>
          </w:p>
        </w:tc>
        <w:tc>
          <w:tcPr>
            <w:tcW w:w="498" w:type="dxa"/>
            <w:vAlign w:val="top"/>
          </w:tcPr>
          <w:p>
            <w:pPr>
              <w:spacing w:before="119" w:line="240" w:lineRule="auto"/>
              <w:ind w:left="0" w:leftChars="0"/>
              <w:jc w:val="center"/>
              <w:rPr>
                <w:rFonts w:hint="eastAsia"/>
                <w:sz w:val="18"/>
                <w:szCs w:val="18"/>
              </w:rPr>
            </w:pPr>
            <w:r>
              <w:rPr>
                <w:rFonts w:hint="eastAsia"/>
                <w:sz w:val="18"/>
                <w:szCs w:val="18"/>
              </w:rPr>
              <w:t>1.31 (33.3)</w:t>
            </w:r>
          </w:p>
        </w:tc>
        <w:tc>
          <w:tcPr>
            <w:tcW w:w="513" w:type="dxa"/>
            <w:vAlign w:val="top"/>
          </w:tcPr>
          <w:p>
            <w:pPr>
              <w:spacing w:before="119" w:line="240" w:lineRule="auto"/>
              <w:ind w:left="0" w:leftChars="0"/>
              <w:jc w:val="center"/>
              <w:rPr>
                <w:rFonts w:hint="eastAsia"/>
                <w:sz w:val="18"/>
                <w:szCs w:val="18"/>
              </w:rPr>
            </w:pPr>
            <w:r>
              <w:rPr>
                <w:rFonts w:hint="eastAsia"/>
                <w:sz w:val="18"/>
                <w:szCs w:val="18"/>
              </w:rPr>
              <w:t>0.95 (24.1)</w:t>
            </w:r>
          </w:p>
        </w:tc>
        <w:tc>
          <w:tcPr>
            <w:tcW w:w="513" w:type="dxa"/>
            <w:vAlign w:val="center"/>
          </w:tcPr>
          <w:p>
            <w:pPr>
              <w:spacing w:before="119" w:line="180" w:lineRule="auto"/>
              <w:jc w:val="center"/>
              <w:rPr>
                <w:rFonts w:hint="eastAsia"/>
                <w:sz w:val="18"/>
                <w:szCs w:val="18"/>
              </w:rPr>
            </w:pPr>
            <w:r>
              <w:rPr>
                <w:rFonts w:hint="eastAsia"/>
                <w:sz w:val="18"/>
                <w:szCs w:val="18"/>
                <w:lang w:val="en-US" w:eastAsia="zh-CN"/>
              </w:rPr>
              <w:t>1.12 (28.5)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2.55 (65.0)</w:t>
            </w:r>
          </w:p>
        </w:tc>
        <w:tc>
          <w:tcPr>
            <w:tcW w:w="529" w:type="dxa"/>
            <w:vAlign w:val="center"/>
          </w:tcPr>
          <w:p>
            <w:pPr>
              <w:spacing w:before="119" w:line="180" w:lineRule="auto"/>
              <w:jc w:val="center"/>
              <w:rPr>
                <w:rFonts w:hint="eastAsia"/>
                <w:sz w:val="18"/>
                <w:szCs w:val="18"/>
              </w:rPr>
            </w:pPr>
            <w:r>
              <w:rPr>
                <w:rFonts w:hint="eastAsia"/>
                <w:sz w:val="18"/>
                <w:szCs w:val="18"/>
                <w:lang w:val="en-US" w:eastAsia="zh-CN"/>
              </w:rPr>
              <w:t>2.44 (62.0)</w:t>
            </w:r>
          </w:p>
        </w:tc>
        <w:tc>
          <w:tcPr>
            <w:tcW w:w="481" w:type="dxa"/>
            <w:vAlign w:val="center"/>
          </w:tcPr>
          <w:p>
            <w:pPr>
              <w:spacing w:before="119" w:line="180" w:lineRule="auto"/>
              <w:jc w:val="center"/>
              <w:rPr>
                <w:rFonts w:hint="eastAsia"/>
                <w:sz w:val="18"/>
                <w:szCs w:val="18"/>
              </w:rPr>
            </w:pPr>
            <w:r>
              <w:rPr>
                <w:rFonts w:hint="eastAsia"/>
                <w:sz w:val="18"/>
                <w:szCs w:val="18"/>
                <w:lang w:val="en-US" w:eastAsia="zh-CN"/>
              </w:rPr>
              <w:t>3.00 (76.2)</w:t>
            </w:r>
          </w:p>
        </w:tc>
        <w:tc>
          <w:tcPr>
            <w:tcW w:w="514" w:type="dxa"/>
            <w:vAlign w:val="center"/>
          </w:tcPr>
          <w:p>
            <w:pPr>
              <w:spacing w:before="119" w:line="180" w:lineRule="auto"/>
              <w:jc w:val="center"/>
              <w:rPr>
                <w:rFonts w:hint="eastAsia"/>
                <w:sz w:val="18"/>
                <w:szCs w:val="18"/>
              </w:rPr>
            </w:pPr>
            <w:r>
              <w:rPr>
                <w:rFonts w:hint="eastAsia"/>
                <w:sz w:val="18"/>
                <w:szCs w:val="18"/>
                <w:lang w:val="en-US" w:eastAsia="zh-CN"/>
              </w:rPr>
              <w:t>1.00 (25.4)</w:t>
            </w:r>
          </w:p>
        </w:tc>
        <w:tc>
          <w:tcPr>
            <w:tcW w:w="465" w:type="dxa"/>
            <w:vAlign w:val="center"/>
          </w:tcPr>
          <w:p>
            <w:pPr>
              <w:spacing w:before="119" w:line="180" w:lineRule="auto"/>
              <w:jc w:val="center"/>
              <w:rPr>
                <w:rFonts w:hint="eastAsia"/>
                <w:sz w:val="18"/>
                <w:szCs w:val="18"/>
              </w:rPr>
            </w:pPr>
            <w:r>
              <w:rPr>
                <w:rFonts w:hint="eastAsia"/>
                <w:sz w:val="18"/>
                <w:szCs w:val="18"/>
                <w:lang w:val="en-US" w:eastAsia="zh-CN"/>
              </w:rPr>
              <w:t>0.28 (7.1)</w:t>
            </w:r>
          </w:p>
        </w:tc>
        <w:tc>
          <w:tcPr>
            <w:tcW w:w="553" w:type="dxa"/>
            <w:vAlign w:val="center"/>
          </w:tcPr>
          <w:p>
            <w:pPr>
              <w:spacing w:before="119" w:line="180" w:lineRule="auto"/>
              <w:jc w:val="center"/>
              <w:rPr>
                <w:rFonts w:hint="eastAsia"/>
                <w:sz w:val="18"/>
                <w:szCs w:val="18"/>
              </w:rPr>
            </w:pPr>
            <w:r>
              <w:rPr>
                <w:rFonts w:hint="eastAsia"/>
                <w:sz w:val="18"/>
                <w:szCs w:val="18"/>
                <w:lang w:val="en-US" w:eastAsia="zh-CN"/>
              </w:rPr>
              <w:t xml:space="preserve">6.39 </w:t>
            </w:r>
            <w:r>
              <w:rPr>
                <w:rFonts w:hint="eastAsia"/>
                <w:sz w:val="18"/>
                <w:szCs w:val="18"/>
                <w:lang w:val="en-US" w:eastAsia="zh-CN"/>
              </w:rPr>
              <w:br w:type="textWrapping"/>
            </w:r>
            <w:r>
              <w:rPr>
                <w:rFonts w:hint="eastAsia"/>
                <w:sz w:val="18"/>
                <w:szCs w:val="18"/>
                <w:lang w:val="en-US" w:eastAsia="zh-CN"/>
              </w:rPr>
              <w:t>(162.4)</w:t>
            </w:r>
          </w:p>
        </w:tc>
        <w:tc>
          <w:tcPr>
            <w:tcW w:w="497" w:type="dxa"/>
            <w:vAlign w:val="center"/>
          </w:tcPr>
          <w:p>
            <w:pPr>
              <w:spacing w:before="119" w:line="180" w:lineRule="auto"/>
              <w:jc w:val="center"/>
              <w:rPr>
                <w:rFonts w:hint="eastAsia"/>
                <w:sz w:val="18"/>
                <w:szCs w:val="18"/>
              </w:rPr>
            </w:pPr>
            <w:r>
              <w:rPr>
                <w:rFonts w:hint="eastAsia"/>
                <w:sz w:val="18"/>
                <w:szCs w:val="18"/>
                <w:lang w:val="en-US" w:eastAsia="zh-CN"/>
              </w:rPr>
              <w:t>0.69 (17.5)</w:t>
            </w:r>
          </w:p>
        </w:tc>
        <w:tc>
          <w:tcPr>
            <w:tcW w:w="474" w:type="dxa"/>
            <w:vAlign w:val="center"/>
          </w:tcPr>
          <w:p>
            <w:pPr>
              <w:spacing w:before="119" w:line="180" w:lineRule="auto"/>
              <w:jc w:val="center"/>
              <w:rPr>
                <w:rFonts w:hint="eastAsia"/>
                <w:sz w:val="18"/>
                <w:szCs w:val="18"/>
              </w:rPr>
            </w:pPr>
            <w:r>
              <w:rPr>
                <w:rFonts w:hint="eastAsia"/>
                <w:sz w:val="18"/>
                <w:szCs w:val="18"/>
                <w:lang w:val="en-US" w:eastAsia="zh-CN"/>
              </w:rPr>
              <w:t xml:space="preserve">0.38 </w:t>
            </w:r>
            <w:r>
              <w:rPr>
                <w:rFonts w:hint="eastAsia"/>
                <w:sz w:val="18"/>
                <w:szCs w:val="18"/>
                <w:lang w:val="en-US" w:eastAsia="zh-CN"/>
              </w:rPr>
              <w:br w:type="textWrapping"/>
            </w:r>
            <w:r>
              <w:rPr>
                <w:rFonts w:hint="eastAsia"/>
                <w:sz w:val="18"/>
                <w:szCs w:val="18"/>
                <w:lang w:val="en-US" w:eastAsia="zh-CN"/>
              </w:rPr>
              <w:t>(9.7)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1.50</w:t>
            </w:r>
            <w:r>
              <w:rPr>
                <w:rFonts w:hint="eastAsia"/>
                <w:sz w:val="18"/>
                <w:szCs w:val="18"/>
                <w:lang w:val="en-US" w:eastAsia="zh-CN"/>
              </w:rPr>
              <w:t xml:space="preserve">  </w:t>
            </w:r>
            <w:r>
              <w:rPr>
                <w:rFonts w:hint="eastAsia"/>
                <w:sz w:val="18"/>
                <w:szCs w:val="18"/>
              </w:rPr>
              <w:t>(38.1)</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ind w:firstLine="3360" w:firstLineChars="1600"/>
        <w:jc w:val="left"/>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8</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pPr>
      <w:r>
        <w:drawing>
          <wp:inline distT="0" distB="0" distL="114300" distR="114300">
            <wp:extent cx="5890260" cy="2879090"/>
            <wp:effectExtent l="0" t="0" r="1524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5890260" cy="287909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 xml:space="preserve">/2进 </w:t>
      </w:r>
    </w:p>
    <w:tbl>
      <w:tblPr>
        <w:tblStyle w:val="16"/>
        <w:tblpPr w:leftFromText="180" w:rightFromText="180" w:vertAnchor="text" w:horzAnchor="page" w:tblpX="1696" w:tblpY="53"/>
        <w:tblOverlap w:val="never"/>
        <w:tblW w:w="9186" w:type="dxa"/>
        <w:tblInd w:w="-49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34"/>
        <w:gridCol w:w="592"/>
        <w:gridCol w:w="663"/>
        <w:gridCol w:w="473"/>
        <w:gridCol w:w="498"/>
        <w:gridCol w:w="513"/>
        <w:gridCol w:w="513"/>
        <w:gridCol w:w="474"/>
        <w:gridCol w:w="529"/>
        <w:gridCol w:w="481"/>
        <w:gridCol w:w="514"/>
        <w:gridCol w:w="465"/>
        <w:gridCol w:w="553"/>
        <w:gridCol w:w="497"/>
        <w:gridCol w:w="474"/>
        <w:gridCol w:w="81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9" w:hRule="exact"/>
        </w:trPr>
        <w:tc>
          <w:tcPr>
            <w:tcW w:w="1134" w:type="dxa"/>
            <w:vMerge w:val="restart"/>
            <w:tcBorders>
              <w:left w:val="nil"/>
              <w:bottom w:val="nil"/>
            </w:tcBorders>
            <w:vAlign w:val="center"/>
          </w:tcPr>
          <w:p>
            <w:pPr>
              <w:spacing w:before="119" w:line="180" w:lineRule="auto"/>
              <w:jc w:val="center"/>
              <w:rPr>
                <w:rFonts w:ascii="黑体" w:hAnsi="黑体" w:eastAsia="黑体" w:cs="黑体"/>
                <w:sz w:val="16"/>
                <w:szCs w:val="16"/>
              </w:rPr>
            </w:pPr>
            <w:r>
              <w:rPr>
                <w:rFonts w:hint="eastAsia" w:ascii="Times New Roman" w:hAnsi="Times New Roman" w:eastAsia="宋体" w:cs="Times New Roman"/>
                <w:kern w:val="2"/>
                <w:sz w:val="18"/>
                <w:szCs w:val="18"/>
                <w:lang w:val="en-US" w:eastAsia="zh-CN" w:bidi="ar-SA"/>
              </w:rPr>
              <w:t>产品型号</w:t>
            </w:r>
          </w:p>
        </w:tc>
        <w:tc>
          <w:tcPr>
            <w:tcW w:w="592" w:type="dxa"/>
            <w:vMerge w:val="restart"/>
            <w:tcBorders>
              <w:bottom w:val="nil"/>
            </w:tcBorders>
            <w:vAlign w:val="top"/>
          </w:tcPr>
          <w:p>
            <w:pPr>
              <w:spacing w:before="244" w:line="210" w:lineRule="auto"/>
              <w:jc w:val="center"/>
              <w:rPr>
                <w:rFonts w:ascii="黑体" w:hAnsi="黑体" w:eastAsia="黑体" w:cs="黑体"/>
                <w:sz w:val="16"/>
                <w:szCs w:val="16"/>
              </w:rPr>
            </w:pPr>
            <w:r>
              <w:rPr>
                <w:rFonts w:ascii="黑体" w:hAnsi="黑体" w:eastAsia="黑体" w:cs="黑体"/>
                <w:color w:val="231F20"/>
                <w:spacing w:val="-3"/>
                <w:sz w:val="18"/>
                <w:szCs w:val="18"/>
              </w:rPr>
              <w:t>接口尺寸</w:t>
            </w:r>
            <w:r>
              <w:rPr>
                <w:rFonts w:hint="eastAsia" w:ascii="黑体" w:hAnsi="黑体" w:eastAsia="黑体" w:cs="黑体"/>
                <w:color w:val="231F20"/>
                <w:spacing w:val="-3"/>
                <w:sz w:val="18"/>
                <w:szCs w:val="18"/>
                <w:lang w:val="en-US" w:eastAsia="zh-CN"/>
              </w:rPr>
              <w:t>代号</w:t>
            </w:r>
          </w:p>
        </w:tc>
        <w:tc>
          <w:tcPr>
            <w:tcW w:w="663" w:type="dxa"/>
            <w:vMerge w:val="restart"/>
            <w:tcBorders>
              <w:bottom w:val="nil"/>
            </w:tcBorders>
            <w:vAlign w:val="top"/>
          </w:tcPr>
          <w:p>
            <w:pPr>
              <w:spacing w:before="244" w:line="210" w:lineRule="auto"/>
              <w:jc w:val="center"/>
              <w:rPr>
                <w:rFonts w:ascii="黑体" w:hAnsi="黑体" w:eastAsia="黑体" w:cs="黑体"/>
                <w:sz w:val="15"/>
                <w:szCs w:val="15"/>
              </w:rPr>
            </w:pPr>
            <w:r>
              <w:rPr>
                <w:rFonts w:ascii="黑体" w:hAnsi="黑体" w:eastAsia="黑体" w:cs="黑体"/>
                <w:color w:val="231F20"/>
                <w:spacing w:val="-3"/>
                <w:sz w:val="18"/>
                <w:szCs w:val="18"/>
              </w:rPr>
              <w:t>内通径in. (mm)</w:t>
            </w:r>
          </w:p>
        </w:tc>
        <w:tc>
          <w:tcPr>
            <w:tcW w:w="6797" w:type="dxa"/>
            <w:gridSpan w:val="13"/>
            <w:tcBorders>
              <w:right w:val="nil"/>
            </w:tcBorders>
            <w:vAlign w:val="top"/>
          </w:tcPr>
          <w:p>
            <w:pPr>
              <w:spacing w:before="86" w:line="210" w:lineRule="auto"/>
              <w:ind w:firstLine="92"/>
              <w:jc w:val="center"/>
              <w:rPr>
                <w:rFonts w:ascii="黑体" w:hAnsi="黑体" w:eastAsia="黑体" w:cs="黑体"/>
                <w:color w:val="231F20"/>
                <w:spacing w:val="-4"/>
                <w:sz w:val="18"/>
                <w:szCs w:val="18"/>
              </w:rPr>
            </w:pPr>
            <w:r>
              <w:rPr>
                <w:rFonts w:ascii="黑体" w:hAnsi="黑体" w:eastAsia="黑体" w:cs="黑体"/>
                <w:color w:val="231F20"/>
                <w:spacing w:val="-4"/>
                <w:sz w:val="18"/>
                <w:szCs w:val="18"/>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exact"/>
        </w:trPr>
        <w:tc>
          <w:tcPr>
            <w:tcW w:w="1134" w:type="dxa"/>
            <w:vMerge w:val="continue"/>
            <w:tcBorders>
              <w:top w:val="nil"/>
              <w:left w:val="nil"/>
            </w:tcBorders>
            <w:vAlign w:val="top"/>
          </w:tcPr>
          <w:p>
            <w:pPr>
              <w:jc w:val="center"/>
              <w:rPr>
                <w:rFonts w:ascii="黑体"/>
                <w:sz w:val="21"/>
              </w:rPr>
            </w:pPr>
          </w:p>
        </w:tc>
        <w:tc>
          <w:tcPr>
            <w:tcW w:w="592" w:type="dxa"/>
            <w:vMerge w:val="continue"/>
            <w:tcBorders>
              <w:top w:val="nil"/>
            </w:tcBorders>
            <w:vAlign w:val="top"/>
          </w:tcPr>
          <w:p>
            <w:pPr>
              <w:jc w:val="center"/>
              <w:rPr>
                <w:rFonts w:ascii="黑体"/>
                <w:sz w:val="21"/>
              </w:rPr>
            </w:pPr>
          </w:p>
        </w:tc>
        <w:tc>
          <w:tcPr>
            <w:tcW w:w="663" w:type="dxa"/>
            <w:vMerge w:val="continue"/>
            <w:tcBorders>
              <w:top w:val="nil"/>
            </w:tcBorders>
            <w:vAlign w:val="top"/>
          </w:tcPr>
          <w:p>
            <w:pPr>
              <w:rPr>
                <w:rFonts w:ascii="黑体"/>
                <w:sz w:val="21"/>
              </w:rPr>
            </w:pPr>
          </w:p>
        </w:tc>
        <w:tc>
          <w:tcPr>
            <w:tcW w:w="47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6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5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49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13"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86"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V30SS-60S4-4</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4</w:t>
            </w:r>
          </w:p>
        </w:tc>
        <w:tc>
          <w:tcPr>
            <w:tcW w:w="663" w:type="dxa"/>
            <w:vAlign w:val="top"/>
          </w:tcPr>
          <w:p>
            <w:pPr>
              <w:spacing w:before="119" w:line="240" w:lineRule="auto"/>
              <w:ind w:left="0" w:leftChars="0"/>
              <w:jc w:val="center"/>
              <w:rPr>
                <w:rFonts w:hint="eastAsia"/>
                <w:sz w:val="18"/>
                <w:szCs w:val="18"/>
              </w:rPr>
            </w:pPr>
            <w:r>
              <w:rPr>
                <w:rFonts w:hint="eastAsia"/>
                <w:sz w:val="18"/>
                <w:szCs w:val="18"/>
              </w:rPr>
              <w:t>0.094</w:t>
            </w:r>
            <w:r>
              <w:rPr>
                <w:rFonts w:hint="eastAsia"/>
                <w:sz w:val="18"/>
                <w:szCs w:val="18"/>
                <w:lang w:val="en-US" w:eastAsia="zh-CN"/>
              </w:rPr>
              <w:t xml:space="preserve"> </w:t>
            </w:r>
            <w:r>
              <w:rPr>
                <w:rFonts w:hint="eastAsia"/>
                <w:sz w:val="18"/>
                <w:szCs w:val="18"/>
              </w:rPr>
              <w:t>(2.39)</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0.47</w:t>
            </w:r>
            <w:r>
              <w:rPr>
                <w:rFonts w:hint="eastAsia"/>
                <w:sz w:val="18"/>
                <w:szCs w:val="18"/>
                <w:lang w:val="en-US" w:eastAsia="zh-CN"/>
              </w:rPr>
              <w:br w:type="textWrapping"/>
            </w:r>
            <w:r>
              <w:rPr>
                <w:rFonts w:hint="eastAsia"/>
                <w:sz w:val="18"/>
                <w:szCs w:val="18"/>
                <w:lang w:val="en-US" w:eastAsia="zh-CN"/>
              </w:rPr>
              <w:t>(11.9)</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1.50 (38.1)</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2.12 (53.9)</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4.81</w:t>
            </w:r>
            <w:r>
              <w:rPr>
                <w:rFonts w:hint="eastAsia"/>
                <w:sz w:val="18"/>
                <w:szCs w:val="18"/>
                <w:lang w:val="en-US" w:eastAsia="zh-CN"/>
              </w:rPr>
              <w:br w:type="textWrapping"/>
            </w:r>
            <w:r>
              <w:rPr>
                <w:rFonts w:hint="eastAsia"/>
                <w:sz w:val="18"/>
                <w:szCs w:val="18"/>
                <w:lang w:val="en-US" w:eastAsia="zh-CN"/>
              </w:rPr>
              <w:t>(122.1)</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w:t>
            </w:r>
            <w:r>
              <w:rPr>
                <w:rFonts w:hint="eastAsia"/>
                <w:sz w:val="18"/>
                <w:szCs w:val="18"/>
                <w:lang w:val="en-US" w:eastAsia="zh-CN"/>
              </w:rPr>
              <w:t xml:space="preserve">0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20"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V30SS-60S6-4</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6</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0.61</w:t>
            </w:r>
            <w:r>
              <w:rPr>
                <w:rFonts w:hint="eastAsia"/>
                <w:sz w:val="18"/>
                <w:szCs w:val="18"/>
                <w:lang w:val="en-US" w:eastAsia="zh-CN"/>
              </w:rPr>
              <w:br w:type="textWrapping"/>
            </w:r>
            <w:r>
              <w:rPr>
                <w:rFonts w:hint="eastAsia"/>
                <w:sz w:val="18"/>
                <w:szCs w:val="18"/>
                <w:lang w:val="en-US" w:eastAsia="zh-CN"/>
              </w:rPr>
              <w:t>(15.6)</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1.50 (38.1)</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2.5 (63.5)</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5.19 (131.9)</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9"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V30SS-60S9-4</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9</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2.62</w:t>
            </w:r>
            <w:r>
              <w:rPr>
                <w:rFonts w:hint="eastAsia"/>
                <w:sz w:val="18"/>
                <w:szCs w:val="18"/>
                <w:lang w:val="en-US" w:eastAsia="zh-CN"/>
              </w:rPr>
              <w:br w:type="textWrapping"/>
            </w:r>
            <w:r>
              <w:rPr>
                <w:rFonts w:hint="eastAsia"/>
                <w:sz w:val="18"/>
                <w:szCs w:val="18"/>
                <w:lang w:val="en-US" w:eastAsia="zh-CN"/>
              </w:rPr>
              <w:t>(66.6)</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1.31</w:t>
            </w:r>
            <w:r>
              <w:rPr>
                <w:rFonts w:hint="eastAsia"/>
                <w:sz w:val="18"/>
                <w:szCs w:val="18"/>
                <w:lang w:val="en-US" w:eastAsia="zh-CN"/>
              </w:rPr>
              <w:br w:type="textWrapping"/>
            </w:r>
            <w:r>
              <w:rPr>
                <w:rFonts w:hint="eastAsia"/>
                <w:sz w:val="18"/>
                <w:szCs w:val="18"/>
                <w:lang w:val="en-US" w:eastAsia="zh-CN"/>
              </w:rPr>
              <w:t>(33.3)</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0.95</w:t>
            </w:r>
            <w:r>
              <w:rPr>
                <w:rFonts w:hint="eastAsia"/>
                <w:sz w:val="18"/>
                <w:szCs w:val="18"/>
                <w:lang w:val="en-US" w:eastAsia="zh-CN"/>
              </w:rPr>
              <w:br w:type="textWrapping"/>
            </w:r>
            <w:r>
              <w:rPr>
                <w:rFonts w:hint="eastAsia"/>
                <w:sz w:val="18"/>
                <w:szCs w:val="18"/>
                <w:lang w:val="en-US" w:eastAsia="zh-CN"/>
              </w:rPr>
              <w:t>(24.1)</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1.56 (39.6)</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2.88 (73.2)</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0.28 (7.1)</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5.57 (141.5)</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1.50</w:t>
            </w:r>
            <w:r>
              <w:rPr>
                <w:rFonts w:hint="eastAsia"/>
                <w:sz w:val="18"/>
                <w:szCs w:val="18"/>
                <w:lang w:val="en-US" w:eastAsia="zh-CN"/>
              </w:rPr>
              <w:t xml:space="preserve">  </w:t>
            </w:r>
            <w:r>
              <w:rPr>
                <w:rFonts w:hint="eastAsia"/>
                <w:sz w:val="18"/>
                <w:szCs w:val="18"/>
              </w:rPr>
              <w:t>(38.1)</w:t>
            </w:r>
          </w:p>
        </w:tc>
      </w:tr>
    </w:tbl>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1</w:t>
      </w:r>
      <w:r>
        <w:rPr>
          <w:rFonts w:hint="default" w:ascii="宋体" w:hAnsi="宋体" w:eastAsia="宋体" w:cs="宋体"/>
          <w:color w:val="000000"/>
          <w:kern w:val="0"/>
          <w:sz w:val="21"/>
          <w:szCs w:val="21"/>
          <w:lang w:val="en-US" w:eastAsia="zh-CN" w:bidi="ar"/>
        </w:rPr>
        <w:t xml:space="preserve">进 </w:t>
      </w:r>
    </w:p>
    <w:tbl>
      <w:tblPr>
        <w:tblStyle w:val="16"/>
        <w:tblpPr w:leftFromText="180" w:rightFromText="180" w:vertAnchor="text" w:horzAnchor="page" w:tblpX="1696" w:tblpY="53"/>
        <w:tblOverlap w:val="never"/>
        <w:tblW w:w="9186" w:type="dxa"/>
        <w:tblInd w:w="-49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34"/>
        <w:gridCol w:w="592"/>
        <w:gridCol w:w="663"/>
        <w:gridCol w:w="473"/>
        <w:gridCol w:w="498"/>
        <w:gridCol w:w="513"/>
        <w:gridCol w:w="513"/>
        <w:gridCol w:w="474"/>
        <w:gridCol w:w="529"/>
        <w:gridCol w:w="481"/>
        <w:gridCol w:w="514"/>
        <w:gridCol w:w="465"/>
        <w:gridCol w:w="553"/>
        <w:gridCol w:w="497"/>
        <w:gridCol w:w="474"/>
        <w:gridCol w:w="81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9" w:hRule="exact"/>
        </w:trPr>
        <w:tc>
          <w:tcPr>
            <w:tcW w:w="1134" w:type="dxa"/>
            <w:vMerge w:val="restart"/>
            <w:tcBorders>
              <w:left w:val="nil"/>
              <w:bottom w:val="nil"/>
            </w:tcBorders>
            <w:vAlign w:val="center"/>
          </w:tcPr>
          <w:p>
            <w:pPr>
              <w:spacing w:before="119" w:line="180" w:lineRule="auto"/>
              <w:jc w:val="center"/>
              <w:rPr>
                <w:rFonts w:ascii="黑体" w:hAnsi="黑体" w:eastAsia="黑体" w:cs="黑体"/>
                <w:sz w:val="16"/>
                <w:szCs w:val="16"/>
              </w:rPr>
            </w:pPr>
            <w:r>
              <w:rPr>
                <w:rFonts w:hint="eastAsia" w:ascii="Times New Roman" w:hAnsi="Times New Roman" w:eastAsia="宋体" w:cs="Times New Roman"/>
                <w:kern w:val="2"/>
                <w:sz w:val="18"/>
                <w:szCs w:val="18"/>
                <w:lang w:val="en-US" w:eastAsia="zh-CN" w:bidi="ar-SA"/>
              </w:rPr>
              <w:t>产品型号</w:t>
            </w:r>
          </w:p>
        </w:tc>
        <w:tc>
          <w:tcPr>
            <w:tcW w:w="592" w:type="dxa"/>
            <w:vMerge w:val="restart"/>
            <w:tcBorders>
              <w:bottom w:val="nil"/>
            </w:tcBorders>
            <w:vAlign w:val="top"/>
          </w:tcPr>
          <w:p>
            <w:pPr>
              <w:spacing w:before="244" w:line="210" w:lineRule="auto"/>
              <w:jc w:val="center"/>
              <w:rPr>
                <w:rFonts w:ascii="黑体" w:hAnsi="黑体" w:eastAsia="黑体" w:cs="黑体"/>
                <w:sz w:val="16"/>
                <w:szCs w:val="16"/>
              </w:rPr>
            </w:pPr>
            <w:r>
              <w:rPr>
                <w:rFonts w:ascii="黑体" w:hAnsi="黑体" w:eastAsia="黑体" w:cs="黑体"/>
                <w:color w:val="231F20"/>
                <w:spacing w:val="-3"/>
                <w:sz w:val="18"/>
                <w:szCs w:val="18"/>
              </w:rPr>
              <w:t>接口尺寸</w:t>
            </w:r>
            <w:r>
              <w:rPr>
                <w:rFonts w:hint="eastAsia" w:ascii="黑体" w:hAnsi="黑体" w:eastAsia="黑体" w:cs="黑体"/>
                <w:color w:val="231F20"/>
                <w:spacing w:val="-3"/>
                <w:sz w:val="18"/>
                <w:szCs w:val="18"/>
                <w:lang w:val="en-US" w:eastAsia="zh-CN"/>
              </w:rPr>
              <w:t>代号</w:t>
            </w:r>
          </w:p>
        </w:tc>
        <w:tc>
          <w:tcPr>
            <w:tcW w:w="663" w:type="dxa"/>
            <w:vMerge w:val="restart"/>
            <w:tcBorders>
              <w:bottom w:val="nil"/>
            </w:tcBorders>
            <w:vAlign w:val="top"/>
          </w:tcPr>
          <w:p>
            <w:pPr>
              <w:spacing w:before="244" w:line="210" w:lineRule="auto"/>
              <w:jc w:val="center"/>
              <w:rPr>
                <w:rFonts w:ascii="黑体" w:hAnsi="黑体" w:eastAsia="黑体" w:cs="黑体"/>
                <w:sz w:val="15"/>
                <w:szCs w:val="15"/>
              </w:rPr>
            </w:pPr>
            <w:r>
              <w:rPr>
                <w:rFonts w:ascii="黑体" w:hAnsi="黑体" w:eastAsia="黑体" w:cs="黑体"/>
                <w:color w:val="231F20"/>
                <w:spacing w:val="-3"/>
                <w:sz w:val="18"/>
                <w:szCs w:val="18"/>
              </w:rPr>
              <w:t>内通径in. (mm)</w:t>
            </w:r>
          </w:p>
        </w:tc>
        <w:tc>
          <w:tcPr>
            <w:tcW w:w="6797" w:type="dxa"/>
            <w:gridSpan w:val="13"/>
            <w:tcBorders>
              <w:right w:val="nil"/>
            </w:tcBorders>
            <w:vAlign w:val="top"/>
          </w:tcPr>
          <w:p>
            <w:pPr>
              <w:spacing w:before="86" w:line="210" w:lineRule="auto"/>
              <w:ind w:firstLine="92"/>
              <w:jc w:val="center"/>
              <w:rPr>
                <w:rFonts w:ascii="黑体" w:hAnsi="黑体" w:eastAsia="黑体" w:cs="黑体"/>
                <w:color w:val="231F20"/>
                <w:spacing w:val="-4"/>
                <w:sz w:val="18"/>
                <w:szCs w:val="18"/>
              </w:rPr>
            </w:pPr>
            <w:r>
              <w:rPr>
                <w:rFonts w:ascii="黑体" w:hAnsi="黑体" w:eastAsia="黑体" w:cs="黑体"/>
                <w:color w:val="231F20"/>
                <w:spacing w:val="-4"/>
                <w:sz w:val="18"/>
                <w:szCs w:val="18"/>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exact"/>
        </w:trPr>
        <w:tc>
          <w:tcPr>
            <w:tcW w:w="1134" w:type="dxa"/>
            <w:vMerge w:val="continue"/>
            <w:tcBorders>
              <w:top w:val="nil"/>
              <w:left w:val="nil"/>
            </w:tcBorders>
            <w:vAlign w:val="top"/>
          </w:tcPr>
          <w:p>
            <w:pPr>
              <w:jc w:val="center"/>
              <w:rPr>
                <w:rFonts w:ascii="黑体"/>
                <w:sz w:val="21"/>
              </w:rPr>
            </w:pPr>
          </w:p>
        </w:tc>
        <w:tc>
          <w:tcPr>
            <w:tcW w:w="592" w:type="dxa"/>
            <w:vMerge w:val="continue"/>
            <w:tcBorders>
              <w:top w:val="nil"/>
            </w:tcBorders>
            <w:vAlign w:val="top"/>
          </w:tcPr>
          <w:p>
            <w:pPr>
              <w:jc w:val="center"/>
              <w:rPr>
                <w:rFonts w:ascii="黑体"/>
                <w:sz w:val="21"/>
              </w:rPr>
            </w:pPr>
          </w:p>
        </w:tc>
        <w:tc>
          <w:tcPr>
            <w:tcW w:w="663" w:type="dxa"/>
            <w:vMerge w:val="continue"/>
            <w:tcBorders>
              <w:top w:val="nil"/>
            </w:tcBorders>
            <w:vAlign w:val="top"/>
          </w:tcPr>
          <w:p>
            <w:pPr>
              <w:rPr>
                <w:rFonts w:ascii="黑体"/>
                <w:sz w:val="21"/>
              </w:rPr>
            </w:pPr>
          </w:p>
        </w:tc>
        <w:tc>
          <w:tcPr>
            <w:tcW w:w="47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6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5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49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13"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86"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V30SS-60S4-5</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4</w:t>
            </w:r>
          </w:p>
        </w:tc>
        <w:tc>
          <w:tcPr>
            <w:tcW w:w="663" w:type="dxa"/>
            <w:vAlign w:val="top"/>
          </w:tcPr>
          <w:p>
            <w:pPr>
              <w:spacing w:before="119" w:line="240" w:lineRule="auto"/>
              <w:ind w:left="0" w:leftChars="0"/>
              <w:jc w:val="center"/>
              <w:rPr>
                <w:rFonts w:hint="eastAsia"/>
                <w:sz w:val="18"/>
                <w:szCs w:val="18"/>
              </w:rPr>
            </w:pPr>
            <w:r>
              <w:rPr>
                <w:rFonts w:hint="eastAsia"/>
                <w:sz w:val="18"/>
                <w:szCs w:val="18"/>
              </w:rPr>
              <w:t>0.094</w:t>
            </w:r>
            <w:r>
              <w:rPr>
                <w:rFonts w:hint="eastAsia"/>
                <w:sz w:val="18"/>
                <w:szCs w:val="18"/>
                <w:lang w:val="en-US" w:eastAsia="zh-CN"/>
              </w:rPr>
              <w:t xml:space="preserve"> </w:t>
            </w:r>
            <w:r>
              <w:rPr>
                <w:rFonts w:hint="eastAsia"/>
                <w:sz w:val="18"/>
                <w:szCs w:val="18"/>
              </w:rPr>
              <w:t>(2.39)</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0.47</w:t>
            </w:r>
            <w:r>
              <w:rPr>
                <w:rFonts w:hint="eastAsia"/>
                <w:sz w:val="18"/>
                <w:szCs w:val="18"/>
                <w:lang w:val="en-US" w:eastAsia="zh-CN"/>
              </w:rPr>
              <w:br w:type="textWrapping"/>
            </w:r>
            <w:r>
              <w:rPr>
                <w:rFonts w:hint="eastAsia"/>
                <w:sz w:val="18"/>
                <w:szCs w:val="18"/>
                <w:lang w:val="en-US" w:eastAsia="zh-CN"/>
              </w:rPr>
              <w:t>(11.9)</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1.12</w:t>
            </w:r>
            <w:r>
              <w:rPr>
                <w:rFonts w:hint="eastAsia"/>
                <w:sz w:val="18"/>
                <w:szCs w:val="18"/>
                <w:lang w:val="en-US" w:eastAsia="zh-CN"/>
              </w:rPr>
              <w:br w:type="textWrapping"/>
            </w:r>
            <w:r>
              <w:rPr>
                <w:rFonts w:hint="eastAsia"/>
                <w:sz w:val="18"/>
                <w:szCs w:val="18"/>
                <w:lang w:val="en-US" w:eastAsia="zh-CN"/>
              </w:rPr>
              <w:t>(28.5)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2.00 (50.8)</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4.69 (119.1)</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w:t>
            </w:r>
            <w:r>
              <w:rPr>
                <w:rFonts w:hint="eastAsia"/>
                <w:sz w:val="18"/>
                <w:szCs w:val="18"/>
                <w:lang w:val="en-US" w:eastAsia="zh-CN"/>
              </w:rPr>
              <w:t xml:space="preserve">0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20"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V30SS-60S6-5</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6</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0.61</w:t>
            </w:r>
            <w:r>
              <w:rPr>
                <w:rFonts w:hint="eastAsia"/>
                <w:sz w:val="18"/>
                <w:szCs w:val="18"/>
                <w:lang w:val="en-US" w:eastAsia="zh-CN"/>
              </w:rPr>
              <w:br w:type="textWrapping"/>
            </w:r>
            <w:r>
              <w:rPr>
                <w:rFonts w:hint="eastAsia"/>
                <w:sz w:val="18"/>
                <w:szCs w:val="18"/>
                <w:lang w:val="en-US" w:eastAsia="zh-CN"/>
              </w:rPr>
              <w:t>(15.6)</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1.12</w:t>
            </w:r>
            <w:r>
              <w:rPr>
                <w:rFonts w:hint="eastAsia"/>
                <w:sz w:val="18"/>
                <w:szCs w:val="18"/>
                <w:lang w:val="en-US" w:eastAsia="zh-CN"/>
              </w:rPr>
              <w:br w:type="textWrapping"/>
            </w:r>
            <w:r>
              <w:rPr>
                <w:rFonts w:hint="eastAsia"/>
                <w:sz w:val="18"/>
                <w:szCs w:val="18"/>
                <w:lang w:val="en-US" w:eastAsia="zh-CN"/>
              </w:rPr>
              <w:t>(28.5)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2.25 (57.2)</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4.95 (125.7)</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1.00</w:t>
            </w:r>
            <w:r>
              <w:rPr>
                <w:rFonts w:hint="eastAsia"/>
                <w:sz w:val="18"/>
                <w:szCs w:val="18"/>
                <w:lang w:val="en-US" w:eastAsia="zh-CN"/>
              </w:rPr>
              <w:t xml:space="preserve">  </w:t>
            </w:r>
            <w:r>
              <w:rPr>
                <w:rFonts w:hint="eastAsia"/>
                <w:sz w:val="18"/>
                <w:szCs w:val="18"/>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9"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V30SS-60S9-5</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9</w:t>
            </w:r>
          </w:p>
        </w:tc>
        <w:tc>
          <w:tcPr>
            <w:tcW w:w="663" w:type="dxa"/>
            <w:vAlign w:val="top"/>
          </w:tcPr>
          <w:p>
            <w:pPr>
              <w:spacing w:before="119" w:line="240" w:lineRule="auto"/>
              <w:ind w:left="0" w:leftChars="0"/>
              <w:jc w:val="center"/>
              <w:rPr>
                <w:rFonts w:hint="eastAsia"/>
                <w:sz w:val="18"/>
                <w:szCs w:val="18"/>
              </w:rPr>
            </w:pPr>
            <w:r>
              <w:rPr>
                <w:rFonts w:hint="eastAsia"/>
                <w:sz w:val="18"/>
                <w:szCs w:val="18"/>
              </w:rPr>
              <w:t>0.125</w:t>
            </w:r>
            <w:r>
              <w:rPr>
                <w:rFonts w:hint="eastAsia"/>
                <w:sz w:val="18"/>
                <w:szCs w:val="18"/>
                <w:lang w:val="en-US" w:eastAsia="zh-CN"/>
              </w:rPr>
              <w:t xml:space="preserve"> </w:t>
            </w:r>
            <w:r>
              <w:rPr>
                <w:rFonts w:hint="eastAsia"/>
                <w:sz w:val="18"/>
                <w:szCs w:val="18"/>
              </w:rPr>
              <w:t>(3.18)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2.62</w:t>
            </w:r>
            <w:r>
              <w:rPr>
                <w:rFonts w:hint="eastAsia"/>
                <w:sz w:val="18"/>
                <w:szCs w:val="18"/>
                <w:lang w:val="en-US" w:eastAsia="zh-CN"/>
              </w:rPr>
              <w:br w:type="textWrapping"/>
            </w:r>
            <w:r>
              <w:rPr>
                <w:rFonts w:hint="eastAsia"/>
                <w:sz w:val="18"/>
                <w:szCs w:val="18"/>
                <w:lang w:val="en-US" w:eastAsia="zh-CN"/>
              </w:rPr>
              <w:t>(66.6)</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1.31</w:t>
            </w:r>
            <w:r>
              <w:rPr>
                <w:rFonts w:hint="eastAsia"/>
                <w:sz w:val="18"/>
                <w:szCs w:val="18"/>
                <w:lang w:val="en-US" w:eastAsia="zh-CN"/>
              </w:rPr>
              <w:br w:type="textWrapping"/>
            </w:r>
            <w:r>
              <w:rPr>
                <w:rFonts w:hint="eastAsia"/>
                <w:sz w:val="18"/>
                <w:szCs w:val="18"/>
                <w:lang w:val="en-US" w:eastAsia="zh-CN"/>
              </w:rPr>
              <w:t>(33.3)</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0.95</w:t>
            </w:r>
            <w:r>
              <w:rPr>
                <w:rFonts w:hint="eastAsia"/>
                <w:sz w:val="18"/>
                <w:szCs w:val="18"/>
                <w:lang w:val="en-US" w:eastAsia="zh-CN"/>
              </w:rPr>
              <w:br w:type="textWrapping"/>
            </w:r>
            <w:r>
              <w:rPr>
                <w:rFonts w:hint="eastAsia"/>
                <w:sz w:val="18"/>
                <w:szCs w:val="18"/>
                <w:lang w:val="en-US" w:eastAsia="zh-CN"/>
              </w:rPr>
              <w:t>(24.1)</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1.12</w:t>
            </w:r>
            <w:r>
              <w:rPr>
                <w:rFonts w:hint="eastAsia"/>
                <w:sz w:val="18"/>
                <w:szCs w:val="18"/>
                <w:lang w:val="en-US" w:eastAsia="zh-CN"/>
              </w:rPr>
              <w:br w:type="textWrapping"/>
            </w:r>
            <w:r>
              <w:rPr>
                <w:rFonts w:hint="eastAsia"/>
                <w:sz w:val="18"/>
                <w:szCs w:val="18"/>
                <w:lang w:val="en-US" w:eastAsia="zh-CN"/>
              </w:rPr>
              <w:t>(28.5)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2.44 (62.0)</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0.28 (7.1)</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5.13 (130.3)</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top"/>
          </w:tcPr>
          <w:p>
            <w:pPr>
              <w:spacing w:before="119" w:line="240" w:lineRule="auto"/>
              <w:ind w:left="0" w:leftChars="0"/>
              <w:jc w:val="center"/>
              <w:rPr>
                <w:rFonts w:hint="eastAsia"/>
                <w:sz w:val="18"/>
                <w:szCs w:val="18"/>
              </w:rPr>
            </w:pPr>
            <w:r>
              <w:rPr>
                <w:rFonts w:hint="eastAsia"/>
                <w:sz w:val="18"/>
                <w:szCs w:val="18"/>
              </w:rPr>
              <w:t>1.50</w:t>
            </w:r>
            <w:r>
              <w:rPr>
                <w:rFonts w:hint="eastAsia"/>
                <w:sz w:val="18"/>
                <w:szCs w:val="18"/>
                <w:lang w:val="en-US" w:eastAsia="zh-CN"/>
              </w:rPr>
              <w:t xml:space="preserve">  </w:t>
            </w:r>
            <w:r>
              <w:rPr>
                <w:rFonts w:hint="eastAsia"/>
                <w:sz w:val="18"/>
                <w:szCs w:val="18"/>
              </w:rPr>
              <w:t>(38.1)</w:t>
            </w:r>
          </w:p>
        </w:tc>
      </w:tr>
    </w:tbl>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3通</w:t>
      </w:r>
      <w:r>
        <w:rPr>
          <w:rFonts w:hint="default"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2阀组</w:t>
      </w:r>
    </w:p>
    <w:tbl>
      <w:tblPr>
        <w:tblStyle w:val="16"/>
        <w:tblpPr w:leftFromText="180" w:rightFromText="180" w:vertAnchor="text" w:horzAnchor="page" w:tblpX="1696" w:tblpY="53"/>
        <w:tblOverlap w:val="never"/>
        <w:tblW w:w="9186" w:type="dxa"/>
        <w:tblInd w:w="-49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34"/>
        <w:gridCol w:w="592"/>
        <w:gridCol w:w="663"/>
        <w:gridCol w:w="473"/>
        <w:gridCol w:w="498"/>
        <w:gridCol w:w="513"/>
        <w:gridCol w:w="513"/>
        <w:gridCol w:w="474"/>
        <w:gridCol w:w="529"/>
        <w:gridCol w:w="481"/>
        <w:gridCol w:w="514"/>
        <w:gridCol w:w="465"/>
        <w:gridCol w:w="553"/>
        <w:gridCol w:w="497"/>
        <w:gridCol w:w="474"/>
        <w:gridCol w:w="81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9" w:hRule="exact"/>
        </w:trPr>
        <w:tc>
          <w:tcPr>
            <w:tcW w:w="1134" w:type="dxa"/>
            <w:vMerge w:val="restart"/>
            <w:tcBorders>
              <w:left w:val="nil"/>
              <w:bottom w:val="nil"/>
            </w:tcBorders>
            <w:vAlign w:val="center"/>
          </w:tcPr>
          <w:p>
            <w:pPr>
              <w:spacing w:before="119" w:line="180" w:lineRule="auto"/>
              <w:jc w:val="center"/>
              <w:rPr>
                <w:rFonts w:ascii="黑体" w:hAnsi="黑体" w:eastAsia="黑体" w:cs="黑体"/>
                <w:sz w:val="16"/>
                <w:szCs w:val="16"/>
              </w:rPr>
            </w:pPr>
            <w:r>
              <w:rPr>
                <w:rFonts w:hint="eastAsia" w:ascii="Times New Roman" w:hAnsi="Times New Roman" w:eastAsia="宋体" w:cs="Times New Roman"/>
                <w:kern w:val="2"/>
                <w:sz w:val="18"/>
                <w:szCs w:val="18"/>
                <w:lang w:val="en-US" w:eastAsia="zh-CN" w:bidi="ar-SA"/>
              </w:rPr>
              <w:t>产品型号</w:t>
            </w:r>
          </w:p>
        </w:tc>
        <w:tc>
          <w:tcPr>
            <w:tcW w:w="592" w:type="dxa"/>
            <w:vMerge w:val="restart"/>
            <w:tcBorders>
              <w:bottom w:val="nil"/>
            </w:tcBorders>
            <w:vAlign w:val="top"/>
          </w:tcPr>
          <w:p>
            <w:pPr>
              <w:spacing w:before="244" w:line="210" w:lineRule="auto"/>
              <w:jc w:val="center"/>
              <w:rPr>
                <w:rFonts w:ascii="黑体" w:hAnsi="黑体" w:eastAsia="黑体" w:cs="黑体"/>
                <w:sz w:val="16"/>
                <w:szCs w:val="16"/>
              </w:rPr>
            </w:pPr>
            <w:r>
              <w:rPr>
                <w:rFonts w:ascii="黑体" w:hAnsi="黑体" w:eastAsia="黑体" w:cs="黑体"/>
                <w:color w:val="231F20"/>
                <w:spacing w:val="-3"/>
                <w:sz w:val="18"/>
                <w:szCs w:val="18"/>
              </w:rPr>
              <w:t>接口尺寸</w:t>
            </w:r>
            <w:r>
              <w:rPr>
                <w:rFonts w:hint="eastAsia" w:ascii="黑体" w:hAnsi="黑体" w:eastAsia="黑体" w:cs="黑体"/>
                <w:color w:val="231F20"/>
                <w:spacing w:val="-3"/>
                <w:sz w:val="18"/>
                <w:szCs w:val="18"/>
                <w:lang w:val="en-US" w:eastAsia="zh-CN"/>
              </w:rPr>
              <w:t>代号</w:t>
            </w:r>
          </w:p>
        </w:tc>
        <w:tc>
          <w:tcPr>
            <w:tcW w:w="663" w:type="dxa"/>
            <w:vMerge w:val="restart"/>
            <w:tcBorders>
              <w:bottom w:val="nil"/>
            </w:tcBorders>
            <w:vAlign w:val="top"/>
          </w:tcPr>
          <w:p>
            <w:pPr>
              <w:spacing w:before="244" w:line="210" w:lineRule="auto"/>
              <w:jc w:val="center"/>
              <w:rPr>
                <w:rFonts w:ascii="黑体" w:hAnsi="黑体" w:eastAsia="黑体" w:cs="黑体"/>
                <w:sz w:val="15"/>
                <w:szCs w:val="15"/>
              </w:rPr>
            </w:pPr>
            <w:r>
              <w:rPr>
                <w:rFonts w:ascii="黑体" w:hAnsi="黑体" w:eastAsia="黑体" w:cs="黑体"/>
                <w:color w:val="231F20"/>
                <w:spacing w:val="-3"/>
                <w:sz w:val="18"/>
                <w:szCs w:val="18"/>
              </w:rPr>
              <w:t>内通径in. (mm)</w:t>
            </w:r>
          </w:p>
        </w:tc>
        <w:tc>
          <w:tcPr>
            <w:tcW w:w="6797" w:type="dxa"/>
            <w:gridSpan w:val="13"/>
            <w:tcBorders>
              <w:right w:val="nil"/>
            </w:tcBorders>
            <w:vAlign w:val="top"/>
          </w:tcPr>
          <w:p>
            <w:pPr>
              <w:spacing w:before="86" w:line="210" w:lineRule="auto"/>
              <w:ind w:firstLine="92"/>
              <w:jc w:val="center"/>
              <w:rPr>
                <w:rFonts w:ascii="黑体" w:hAnsi="黑体" w:eastAsia="黑体" w:cs="黑体"/>
                <w:color w:val="231F20"/>
                <w:spacing w:val="-4"/>
                <w:sz w:val="18"/>
                <w:szCs w:val="18"/>
              </w:rPr>
            </w:pPr>
            <w:r>
              <w:rPr>
                <w:rFonts w:ascii="黑体" w:hAnsi="黑体" w:eastAsia="黑体" w:cs="黑体"/>
                <w:color w:val="231F20"/>
                <w:spacing w:val="-4"/>
                <w:sz w:val="18"/>
                <w:szCs w:val="18"/>
              </w:rPr>
              <w:t>尺寸 in. (mm)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9" w:hRule="exact"/>
        </w:trPr>
        <w:tc>
          <w:tcPr>
            <w:tcW w:w="1134" w:type="dxa"/>
            <w:vMerge w:val="continue"/>
            <w:tcBorders>
              <w:top w:val="nil"/>
              <w:left w:val="nil"/>
            </w:tcBorders>
            <w:vAlign w:val="top"/>
          </w:tcPr>
          <w:p>
            <w:pPr>
              <w:jc w:val="center"/>
              <w:rPr>
                <w:rFonts w:ascii="黑体"/>
                <w:sz w:val="21"/>
              </w:rPr>
            </w:pPr>
          </w:p>
        </w:tc>
        <w:tc>
          <w:tcPr>
            <w:tcW w:w="592" w:type="dxa"/>
            <w:vMerge w:val="continue"/>
            <w:tcBorders>
              <w:top w:val="nil"/>
            </w:tcBorders>
            <w:vAlign w:val="top"/>
          </w:tcPr>
          <w:p>
            <w:pPr>
              <w:jc w:val="center"/>
              <w:rPr>
                <w:rFonts w:ascii="黑体"/>
                <w:sz w:val="21"/>
              </w:rPr>
            </w:pPr>
          </w:p>
        </w:tc>
        <w:tc>
          <w:tcPr>
            <w:tcW w:w="663" w:type="dxa"/>
            <w:vMerge w:val="continue"/>
            <w:tcBorders>
              <w:top w:val="nil"/>
            </w:tcBorders>
            <w:vAlign w:val="top"/>
          </w:tcPr>
          <w:p>
            <w:pPr>
              <w:rPr>
                <w:rFonts w:ascii="黑体"/>
                <w:sz w:val="21"/>
              </w:rPr>
            </w:pPr>
          </w:p>
        </w:tc>
        <w:tc>
          <w:tcPr>
            <w:tcW w:w="47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A</w:t>
            </w:r>
          </w:p>
        </w:tc>
        <w:tc>
          <w:tcPr>
            <w:tcW w:w="498"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B</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C</w:t>
            </w:r>
          </w:p>
        </w:tc>
        <w:tc>
          <w:tcPr>
            <w:tcW w:w="51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D1</w:t>
            </w:r>
          </w:p>
        </w:tc>
        <w:tc>
          <w:tcPr>
            <w:tcW w:w="529"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E</w:t>
            </w:r>
          </w:p>
        </w:tc>
        <w:tc>
          <w:tcPr>
            <w:tcW w:w="481"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F</w:t>
            </w:r>
          </w:p>
        </w:tc>
        <w:tc>
          <w:tcPr>
            <w:tcW w:w="51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w:t>
            </w:r>
          </w:p>
        </w:tc>
        <w:tc>
          <w:tcPr>
            <w:tcW w:w="465"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G1</w:t>
            </w:r>
          </w:p>
        </w:tc>
        <w:tc>
          <w:tcPr>
            <w:tcW w:w="553"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H</w:t>
            </w:r>
          </w:p>
        </w:tc>
        <w:tc>
          <w:tcPr>
            <w:tcW w:w="497"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M</w:t>
            </w:r>
          </w:p>
        </w:tc>
        <w:tc>
          <w:tcPr>
            <w:tcW w:w="474" w:type="dxa"/>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N</w:t>
            </w:r>
          </w:p>
        </w:tc>
        <w:tc>
          <w:tcPr>
            <w:tcW w:w="813" w:type="dxa"/>
            <w:tcBorders>
              <w:right w:val="nil"/>
            </w:tcBorders>
            <w:vAlign w:val="top"/>
          </w:tcPr>
          <w:p>
            <w:pPr>
              <w:spacing w:before="86" w:line="210" w:lineRule="auto"/>
              <w:ind w:firstLine="92"/>
              <w:rPr>
                <w:rFonts w:ascii="黑体" w:hAnsi="黑体" w:eastAsia="黑体" w:cs="黑体"/>
                <w:color w:val="231F20"/>
                <w:spacing w:val="-4"/>
                <w:sz w:val="18"/>
                <w:szCs w:val="18"/>
              </w:rPr>
            </w:pPr>
            <w:r>
              <w:rPr>
                <w:rFonts w:ascii="黑体" w:hAnsi="黑体" w:eastAsia="黑体" w:cs="黑体"/>
                <w:color w:val="231F20"/>
                <w:spacing w:val="-4"/>
                <w:sz w:val="18"/>
                <w:szCs w:val="18"/>
              </w:rPr>
              <w:t>阀体厚度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86"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V30SS-60S4-6</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4</w:t>
            </w:r>
          </w:p>
        </w:tc>
        <w:tc>
          <w:tcPr>
            <w:tcW w:w="66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0.47</w:t>
            </w:r>
            <w:r>
              <w:rPr>
                <w:rFonts w:hint="eastAsia"/>
                <w:sz w:val="18"/>
                <w:szCs w:val="18"/>
                <w:lang w:val="en-US" w:eastAsia="zh-CN"/>
              </w:rPr>
              <w:br w:type="textWrapping"/>
            </w:r>
            <w:r>
              <w:rPr>
                <w:rFonts w:hint="eastAsia"/>
                <w:sz w:val="18"/>
                <w:szCs w:val="18"/>
                <w:lang w:val="en-US" w:eastAsia="zh-CN"/>
              </w:rPr>
              <w:t>(11.9)</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1.53 (38.9)</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3.06 (77.7)</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5.75 (146.0)</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20"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V30SS-60S6-6</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6</w:t>
            </w:r>
          </w:p>
        </w:tc>
        <w:tc>
          <w:tcPr>
            <w:tcW w:w="66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2.00</w:t>
            </w:r>
            <w:r>
              <w:rPr>
                <w:rFonts w:hint="eastAsia"/>
                <w:sz w:val="18"/>
                <w:szCs w:val="18"/>
                <w:lang w:val="en-US" w:eastAsia="zh-CN"/>
              </w:rPr>
              <w:br w:type="textWrapping"/>
            </w:r>
            <w:r>
              <w:rPr>
                <w:rFonts w:hint="eastAsia"/>
                <w:sz w:val="18"/>
                <w:szCs w:val="18"/>
                <w:lang w:val="en-US" w:eastAsia="zh-CN"/>
              </w:rPr>
              <w:t>(50.8)</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0.61</w:t>
            </w:r>
            <w:r>
              <w:rPr>
                <w:rFonts w:hint="eastAsia"/>
                <w:sz w:val="18"/>
                <w:szCs w:val="18"/>
                <w:lang w:val="en-US" w:eastAsia="zh-CN"/>
              </w:rPr>
              <w:br w:type="textWrapping"/>
            </w:r>
            <w:r>
              <w:rPr>
                <w:rFonts w:hint="eastAsia"/>
                <w:sz w:val="18"/>
                <w:szCs w:val="18"/>
                <w:lang w:val="en-US" w:eastAsia="zh-CN"/>
              </w:rPr>
              <w:t>(15.6)</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1.62 (41.2)</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3.25 (82.6)</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0.22 (5.6)</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5.94 (150.9)</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1.00</w:t>
            </w:r>
            <w:r>
              <w:rPr>
                <w:rFonts w:hint="eastAsia"/>
                <w:sz w:val="18"/>
                <w:szCs w:val="18"/>
                <w:lang w:val="en-US" w:eastAsia="zh-CN"/>
              </w:rPr>
              <w:br w:type="textWrapping"/>
            </w:r>
            <w:r>
              <w:rPr>
                <w:rFonts w:hint="eastAsia"/>
                <w:sz w:val="18"/>
                <w:szCs w:val="18"/>
                <w:lang w:val="en-US" w:eastAsia="zh-CN"/>
              </w:rPr>
              <w:t>(25.4)</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9" w:hRule="exact"/>
        </w:trPr>
        <w:tc>
          <w:tcPr>
            <w:tcW w:w="1134" w:type="dxa"/>
            <w:tcBorders>
              <w:left w:val="nil"/>
            </w:tcBorders>
            <w:vAlign w:val="center"/>
          </w:tcPr>
          <w:p>
            <w:pPr>
              <w:spacing w:before="119" w:line="240" w:lineRule="auto"/>
              <w:ind w:left="0" w:leftChars="0"/>
              <w:jc w:val="center"/>
              <w:rPr>
                <w:rFonts w:hint="default"/>
                <w:sz w:val="18"/>
                <w:szCs w:val="18"/>
                <w:lang w:val="en-US" w:eastAsia="zh-CN"/>
              </w:rPr>
            </w:pPr>
            <w:r>
              <w:rPr>
                <w:rFonts w:hint="eastAsia"/>
                <w:sz w:val="18"/>
                <w:szCs w:val="18"/>
                <w:lang w:val="en-US" w:eastAsia="zh-CN"/>
              </w:rPr>
              <w:t>V30SS-60S9-6</w:t>
            </w:r>
          </w:p>
        </w:tc>
        <w:tc>
          <w:tcPr>
            <w:tcW w:w="592" w:type="dxa"/>
            <w:vAlign w:val="top"/>
          </w:tcPr>
          <w:p>
            <w:pPr>
              <w:spacing w:before="119" w:line="240" w:lineRule="auto"/>
              <w:ind w:left="0" w:leftChars="0"/>
              <w:jc w:val="center"/>
              <w:rPr>
                <w:rFonts w:hint="eastAsia"/>
                <w:sz w:val="18"/>
                <w:szCs w:val="18"/>
              </w:rPr>
            </w:pPr>
            <w:r>
              <w:rPr>
                <w:rFonts w:hint="eastAsia"/>
                <w:sz w:val="18"/>
                <w:szCs w:val="18"/>
                <w:lang w:val="en-US" w:eastAsia="zh-CN"/>
              </w:rPr>
              <w:t>60S</w:t>
            </w:r>
            <w:r>
              <w:rPr>
                <w:rFonts w:hint="eastAsia"/>
                <w:sz w:val="18"/>
                <w:szCs w:val="18"/>
              </w:rPr>
              <w:t>9</w:t>
            </w:r>
          </w:p>
        </w:tc>
        <w:tc>
          <w:tcPr>
            <w:tcW w:w="663" w:type="dxa"/>
            <w:vAlign w:val="center"/>
          </w:tcPr>
          <w:p>
            <w:pPr>
              <w:spacing w:before="119" w:line="240" w:lineRule="auto"/>
              <w:ind w:left="0" w:leftChars="0"/>
              <w:jc w:val="center"/>
              <w:rPr>
                <w:rFonts w:hint="eastAsia"/>
                <w:sz w:val="18"/>
                <w:szCs w:val="18"/>
              </w:rPr>
            </w:pPr>
            <w:r>
              <w:rPr>
                <w:rFonts w:hint="eastAsia"/>
                <w:sz w:val="18"/>
                <w:szCs w:val="18"/>
                <w:lang w:val="en-US" w:eastAsia="zh-CN"/>
              </w:rPr>
              <w:t>2.62</w:t>
            </w:r>
            <w:r>
              <w:rPr>
                <w:rFonts w:hint="eastAsia"/>
                <w:sz w:val="18"/>
                <w:szCs w:val="18"/>
                <w:lang w:val="en-US" w:eastAsia="zh-CN"/>
              </w:rPr>
              <w:br w:type="textWrapping"/>
            </w:r>
            <w:r>
              <w:rPr>
                <w:rFonts w:hint="eastAsia"/>
                <w:sz w:val="18"/>
                <w:szCs w:val="18"/>
                <w:lang w:val="en-US" w:eastAsia="zh-CN"/>
              </w:rPr>
              <w:t>(66.6)</w:t>
            </w:r>
          </w:p>
        </w:tc>
        <w:tc>
          <w:tcPr>
            <w:tcW w:w="473" w:type="dxa"/>
            <w:vAlign w:val="center"/>
          </w:tcPr>
          <w:p>
            <w:pPr>
              <w:spacing w:before="119" w:line="240" w:lineRule="auto"/>
              <w:ind w:left="0" w:leftChars="0"/>
              <w:jc w:val="center"/>
              <w:rPr>
                <w:rFonts w:hint="eastAsia"/>
                <w:sz w:val="18"/>
                <w:szCs w:val="18"/>
              </w:rPr>
            </w:pPr>
            <w:r>
              <w:rPr>
                <w:rFonts w:hint="eastAsia"/>
                <w:sz w:val="18"/>
                <w:szCs w:val="18"/>
                <w:lang w:val="en-US" w:eastAsia="zh-CN"/>
              </w:rPr>
              <w:t>2.62</w:t>
            </w:r>
            <w:r>
              <w:rPr>
                <w:rFonts w:hint="eastAsia"/>
                <w:sz w:val="18"/>
                <w:szCs w:val="18"/>
                <w:lang w:val="en-US" w:eastAsia="zh-CN"/>
              </w:rPr>
              <w:br w:type="textWrapping"/>
            </w:r>
            <w:r>
              <w:rPr>
                <w:rFonts w:hint="eastAsia"/>
                <w:sz w:val="18"/>
                <w:szCs w:val="18"/>
                <w:lang w:val="en-US" w:eastAsia="zh-CN"/>
              </w:rPr>
              <w:t>(66.6)</w:t>
            </w:r>
          </w:p>
        </w:tc>
        <w:tc>
          <w:tcPr>
            <w:tcW w:w="498" w:type="dxa"/>
            <w:vAlign w:val="center"/>
          </w:tcPr>
          <w:p>
            <w:pPr>
              <w:spacing w:before="119" w:line="240" w:lineRule="auto"/>
              <w:ind w:left="0" w:leftChars="0"/>
              <w:jc w:val="center"/>
              <w:rPr>
                <w:rFonts w:hint="eastAsia"/>
                <w:sz w:val="18"/>
                <w:szCs w:val="18"/>
              </w:rPr>
            </w:pPr>
            <w:r>
              <w:rPr>
                <w:rFonts w:hint="eastAsia"/>
                <w:sz w:val="18"/>
                <w:szCs w:val="18"/>
                <w:lang w:val="en-US" w:eastAsia="zh-CN"/>
              </w:rPr>
              <w:t>1.31</w:t>
            </w:r>
            <w:r>
              <w:rPr>
                <w:rFonts w:hint="eastAsia"/>
                <w:sz w:val="18"/>
                <w:szCs w:val="18"/>
                <w:lang w:val="en-US" w:eastAsia="zh-CN"/>
              </w:rPr>
              <w:br w:type="textWrapping"/>
            </w:r>
            <w:r>
              <w:rPr>
                <w:rFonts w:hint="eastAsia"/>
                <w:sz w:val="18"/>
                <w:szCs w:val="18"/>
                <w:lang w:val="en-US" w:eastAsia="zh-CN"/>
              </w:rPr>
              <w:t>(33.3)</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0.95</w:t>
            </w:r>
            <w:r>
              <w:rPr>
                <w:rFonts w:hint="eastAsia"/>
                <w:sz w:val="18"/>
                <w:szCs w:val="18"/>
                <w:lang w:val="en-US" w:eastAsia="zh-CN"/>
              </w:rPr>
              <w:br w:type="textWrapping"/>
            </w:r>
            <w:r>
              <w:rPr>
                <w:rFonts w:hint="eastAsia"/>
                <w:sz w:val="18"/>
                <w:szCs w:val="18"/>
                <w:lang w:val="en-US" w:eastAsia="zh-CN"/>
              </w:rPr>
              <w:t>(24.1)</w:t>
            </w:r>
          </w:p>
        </w:tc>
        <w:tc>
          <w:tcPr>
            <w:tcW w:w="513" w:type="dxa"/>
            <w:vAlign w:val="center"/>
          </w:tcPr>
          <w:p>
            <w:pPr>
              <w:spacing w:before="119" w:line="240" w:lineRule="auto"/>
              <w:ind w:left="0" w:leftChars="0"/>
              <w:jc w:val="center"/>
              <w:rPr>
                <w:rFonts w:hint="eastAsia"/>
                <w:sz w:val="18"/>
                <w:szCs w:val="18"/>
              </w:rPr>
            </w:pPr>
            <w:r>
              <w:rPr>
                <w:rFonts w:hint="eastAsia"/>
                <w:sz w:val="18"/>
                <w:szCs w:val="18"/>
                <w:lang w:val="en-US" w:eastAsia="zh-CN"/>
              </w:rPr>
              <w:t>1.88 (47.8)</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1.12 (28.5)</w:t>
            </w:r>
          </w:p>
        </w:tc>
        <w:tc>
          <w:tcPr>
            <w:tcW w:w="529" w:type="dxa"/>
            <w:vAlign w:val="center"/>
          </w:tcPr>
          <w:p>
            <w:pPr>
              <w:spacing w:before="119" w:line="240" w:lineRule="auto"/>
              <w:ind w:left="0" w:leftChars="0"/>
              <w:jc w:val="center"/>
              <w:rPr>
                <w:rFonts w:hint="eastAsia"/>
                <w:sz w:val="18"/>
                <w:szCs w:val="18"/>
              </w:rPr>
            </w:pPr>
            <w:r>
              <w:rPr>
                <w:rFonts w:hint="eastAsia"/>
                <w:sz w:val="18"/>
                <w:szCs w:val="18"/>
                <w:lang w:val="en-US" w:eastAsia="zh-CN"/>
              </w:rPr>
              <w:t>3.75 (95.3)</w:t>
            </w:r>
          </w:p>
        </w:tc>
        <w:tc>
          <w:tcPr>
            <w:tcW w:w="481" w:type="dxa"/>
            <w:vAlign w:val="center"/>
          </w:tcPr>
          <w:p>
            <w:pPr>
              <w:spacing w:before="119" w:line="240" w:lineRule="auto"/>
              <w:ind w:left="0" w:leftChars="0"/>
              <w:jc w:val="center"/>
              <w:rPr>
                <w:rFonts w:hint="eastAsia"/>
                <w:sz w:val="18"/>
                <w:szCs w:val="18"/>
              </w:rPr>
            </w:pPr>
            <w:r>
              <w:rPr>
                <w:rFonts w:hint="eastAsia"/>
                <w:sz w:val="18"/>
                <w:szCs w:val="18"/>
                <w:lang w:val="en-US" w:eastAsia="zh-CN"/>
              </w:rPr>
              <w:t>3.00 (76.2)</w:t>
            </w:r>
          </w:p>
        </w:tc>
        <w:tc>
          <w:tcPr>
            <w:tcW w:w="514" w:type="dxa"/>
            <w:vAlign w:val="center"/>
          </w:tcPr>
          <w:p>
            <w:pPr>
              <w:spacing w:before="119" w:line="240" w:lineRule="auto"/>
              <w:ind w:left="0" w:leftChars="0"/>
              <w:jc w:val="center"/>
              <w:rPr>
                <w:rFonts w:hint="eastAsia"/>
                <w:sz w:val="18"/>
                <w:szCs w:val="18"/>
              </w:rPr>
            </w:pPr>
            <w:r>
              <w:rPr>
                <w:rFonts w:hint="eastAsia"/>
                <w:sz w:val="18"/>
                <w:szCs w:val="18"/>
                <w:lang w:val="en-US" w:eastAsia="zh-CN"/>
              </w:rPr>
              <w:t>1.00 (25.4)</w:t>
            </w:r>
          </w:p>
        </w:tc>
        <w:tc>
          <w:tcPr>
            <w:tcW w:w="465" w:type="dxa"/>
            <w:vAlign w:val="center"/>
          </w:tcPr>
          <w:p>
            <w:pPr>
              <w:spacing w:before="119" w:line="240" w:lineRule="auto"/>
              <w:ind w:left="0" w:leftChars="0"/>
              <w:jc w:val="center"/>
              <w:rPr>
                <w:rFonts w:hint="eastAsia"/>
                <w:sz w:val="18"/>
                <w:szCs w:val="18"/>
              </w:rPr>
            </w:pPr>
            <w:r>
              <w:rPr>
                <w:rFonts w:hint="eastAsia"/>
                <w:sz w:val="18"/>
                <w:szCs w:val="18"/>
                <w:lang w:val="en-US" w:eastAsia="zh-CN"/>
              </w:rPr>
              <w:t>0.28 (7.1)</w:t>
            </w:r>
          </w:p>
        </w:tc>
        <w:tc>
          <w:tcPr>
            <w:tcW w:w="553" w:type="dxa"/>
            <w:vAlign w:val="center"/>
          </w:tcPr>
          <w:p>
            <w:pPr>
              <w:spacing w:before="119" w:line="240" w:lineRule="auto"/>
              <w:ind w:left="0" w:leftChars="0"/>
              <w:jc w:val="center"/>
              <w:rPr>
                <w:rFonts w:hint="eastAsia"/>
                <w:sz w:val="18"/>
                <w:szCs w:val="18"/>
              </w:rPr>
            </w:pPr>
            <w:r>
              <w:rPr>
                <w:rFonts w:hint="eastAsia"/>
                <w:sz w:val="18"/>
                <w:szCs w:val="18"/>
                <w:lang w:val="en-US" w:eastAsia="zh-CN"/>
              </w:rPr>
              <w:t>6.44 (163.6)</w:t>
            </w:r>
          </w:p>
        </w:tc>
        <w:tc>
          <w:tcPr>
            <w:tcW w:w="497" w:type="dxa"/>
            <w:vAlign w:val="center"/>
          </w:tcPr>
          <w:p>
            <w:pPr>
              <w:spacing w:before="119" w:line="240" w:lineRule="auto"/>
              <w:ind w:left="0" w:leftChars="0"/>
              <w:jc w:val="center"/>
              <w:rPr>
                <w:rFonts w:hint="eastAsia"/>
                <w:sz w:val="18"/>
                <w:szCs w:val="18"/>
              </w:rPr>
            </w:pPr>
            <w:r>
              <w:rPr>
                <w:rFonts w:hint="eastAsia"/>
                <w:sz w:val="18"/>
                <w:szCs w:val="18"/>
                <w:lang w:val="en-US" w:eastAsia="zh-CN"/>
              </w:rPr>
              <w:t>0.69 (17.5)</w:t>
            </w:r>
          </w:p>
        </w:tc>
        <w:tc>
          <w:tcPr>
            <w:tcW w:w="474" w:type="dxa"/>
            <w:vAlign w:val="center"/>
          </w:tcPr>
          <w:p>
            <w:pPr>
              <w:spacing w:before="119" w:line="240" w:lineRule="auto"/>
              <w:ind w:left="0" w:leftChars="0"/>
              <w:jc w:val="center"/>
              <w:rPr>
                <w:rFonts w:hint="eastAsia"/>
                <w:sz w:val="18"/>
                <w:szCs w:val="18"/>
              </w:rPr>
            </w:pPr>
            <w:r>
              <w:rPr>
                <w:rFonts w:hint="eastAsia"/>
                <w:sz w:val="18"/>
                <w:szCs w:val="18"/>
                <w:lang w:val="en-US" w:eastAsia="zh-CN"/>
              </w:rPr>
              <w:t>0.38 (9.7)</w:t>
            </w:r>
          </w:p>
        </w:tc>
        <w:tc>
          <w:tcPr>
            <w:tcW w:w="813" w:type="dxa"/>
            <w:tcBorders>
              <w:right w:val="nil"/>
            </w:tcBorders>
            <w:vAlign w:val="center"/>
          </w:tcPr>
          <w:p>
            <w:pPr>
              <w:spacing w:before="119" w:line="240" w:lineRule="auto"/>
              <w:ind w:left="0" w:leftChars="0"/>
              <w:jc w:val="center"/>
              <w:rPr>
                <w:rFonts w:hint="eastAsia"/>
                <w:sz w:val="18"/>
                <w:szCs w:val="18"/>
              </w:rPr>
            </w:pPr>
            <w:r>
              <w:rPr>
                <w:rFonts w:hint="eastAsia"/>
                <w:sz w:val="18"/>
                <w:szCs w:val="18"/>
                <w:lang w:val="en-US" w:eastAsia="zh-CN"/>
              </w:rPr>
              <w:t>1.50</w:t>
            </w:r>
            <w:r>
              <w:rPr>
                <w:rFonts w:hint="eastAsia"/>
                <w:sz w:val="18"/>
                <w:szCs w:val="18"/>
                <w:lang w:val="en-US" w:eastAsia="zh-CN"/>
              </w:rPr>
              <w:br w:type="textWrapping"/>
            </w:r>
            <w:r>
              <w:rPr>
                <w:rFonts w:hint="eastAsia"/>
                <w:sz w:val="18"/>
                <w:szCs w:val="18"/>
                <w:lang w:val="en-US" w:eastAsia="zh-CN"/>
              </w:rPr>
              <w:t>(38.1)</w:t>
            </w:r>
          </w:p>
        </w:tc>
      </w:tr>
    </w:tbl>
    <w:p>
      <w:pPr>
        <w:keepNext w:val="0"/>
        <w:keepLines w:val="0"/>
        <w:widowControl/>
        <w:suppressLineNumbers w:val="0"/>
        <w:jc w:val="left"/>
        <w:rPr>
          <w:rFonts w:hint="eastAsia"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备注</w:t>
      </w:r>
      <w:r>
        <w:rPr>
          <w:rFonts w:hint="eastAsia" w:ascii="宋体" w:hAnsi="宋体" w:eastAsia="宋体" w:cs="宋体"/>
          <w:color w:val="000000"/>
          <w:kern w:val="0"/>
          <w:sz w:val="13"/>
          <w:szCs w:val="13"/>
          <w:lang w:val="en-US" w:eastAsia="zh-CN" w:bidi="ar"/>
        </w:rPr>
        <w:t xml:space="preserve">：1. G 为填料压盖安装孔的钻孔尺寸。 </w:t>
      </w:r>
    </w:p>
    <w:p>
      <w:pPr>
        <w:keepNext w:val="0"/>
        <w:keepLines w:val="0"/>
        <w:widowControl/>
        <w:suppressLineNumbers w:val="0"/>
        <w:ind w:firstLine="390" w:firstLineChars="300"/>
        <w:jc w:val="left"/>
        <w:rPr>
          <w:rFonts w:hint="eastAsia" w:ascii="宋体" w:hAnsi="宋体" w:eastAsia="宋体" w:cs="宋体"/>
          <w:color w:val="000000"/>
          <w:kern w:val="0"/>
          <w:sz w:val="13"/>
          <w:szCs w:val="13"/>
          <w:lang w:val="en-US" w:eastAsia="zh-CN" w:bidi="ar"/>
        </w:rPr>
      </w:pPr>
      <w:r>
        <w:rPr>
          <w:rFonts w:hint="default" w:ascii="宋体" w:hAnsi="宋体" w:eastAsia="宋体" w:cs="宋体"/>
          <w:color w:val="000000"/>
          <w:kern w:val="0"/>
          <w:sz w:val="13"/>
          <w:szCs w:val="13"/>
          <w:lang w:val="en-US" w:eastAsia="zh-CN" w:bidi="ar"/>
        </w:rPr>
        <w:t xml:space="preserve">2. G1 </w:t>
      </w:r>
      <w:r>
        <w:rPr>
          <w:rFonts w:hint="eastAsia" w:ascii="宋体" w:hAnsi="宋体" w:eastAsia="宋体" w:cs="宋体"/>
          <w:color w:val="000000"/>
          <w:kern w:val="0"/>
          <w:sz w:val="13"/>
          <w:szCs w:val="13"/>
          <w:lang w:val="en-US" w:eastAsia="zh-CN" w:bidi="ar"/>
        </w:rPr>
        <w:t xml:space="preserve">为支架安装孔直径。 </w:t>
      </w:r>
    </w:p>
    <w:p>
      <w:pPr>
        <w:keepNext w:val="0"/>
        <w:keepLines w:val="0"/>
        <w:widowControl/>
        <w:suppressLineNumbers w:val="0"/>
        <w:ind w:firstLine="390" w:firstLineChars="300"/>
        <w:jc w:val="left"/>
        <w:rPr>
          <w:rFonts w:hint="eastAsia" w:ascii="宋体" w:hAnsi="宋体" w:eastAsia="宋体" w:cs="宋体"/>
          <w:color w:val="000000"/>
          <w:kern w:val="0"/>
          <w:sz w:val="13"/>
          <w:szCs w:val="13"/>
          <w:lang w:val="en-US" w:eastAsia="zh-CN" w:bidi="ar"/>
        </w:rPr>
      </w:pPr>
      <w:r>
        <w:rPr>
          <w:rFonts w:hint="default" w:ascii="宋体" w:hAnsi="宋体" w:eastAsia="宋体" w:cs="宋体"/>
          <w:color w:val="000000"/>
          <w:kern w:val="0"/>
          <w:sz w:val="13"/>
          <w:szCs w:val="13"/>
          <w:lang w:val="en-US" w:eastAsia="zh-CN" w:bidi="ar"/>
        </w:rPr>
        <w:t xml:space="preserve">3. </w:t>
      </w:r>
      <w:r>
        <w:rPr>
          <w:rFonts w:hint="eastAsia" w:ascii="宋体" w:hAnsi="宋体" w:eastAsia="宋体" w:cs="宋体"/>
          <w:color w:val="000000"/>
          <w:kern w:val="0"/>
          <w:sz w:val="13"/>
          <w:szCs w:val="13"/>
          <w:lang w:val="en-US" w:eastAsia="zh-CN" w:bidi="ar"/>
        </w:rPr>
        <w:t>所有</w:t>
      </w:r>
      <w:r>
        <w:rPr>
          <w:rFonts w:hint="eastAsia" w:ascii="宋体" w:hAnsi="宋体" w:cs="宋体"/>
          <w:color w:val="000000"/>
          <w:kern w:val="0"/>
          <w:sz w:val="13"/>
          <w:szCs w:val="13"/>
          <w:lang w:val="en-US" w:eastAsia="zh-CN" w:bidi="ar"/>
        </w:rPr>
        <w:t>超高压针形阀</w:t>
      </w:r>
      <w:r>
        <w:rPr>
          <w:rFonts w:hint="eastAsia" w:ascii="宋体" w:hAnsi="宋体" w:eastAsia="宋体" w:cs="宋体"/>
          <w:color w:val="000000"/>
          <w:kern w:val="0"/>
          <w:sz w:val="13"/>
          <w:szCs w:val="13"/>
          <w:lang w:val="en-US" w:eastAsia="zh-CN" w:bidi="ar"/>
        </w:rPr>
        <w:t>的面板安装孔尺寸均为：</w:t>
      </w:r>
      <w:r>
        <w:rPr>
          <w:rFonts w:hint="default" w:ascii="宋体" w:hAnsi="宋体" w:eastAsia="宋体" w:cs="宋体"/>
          <w:color w:val="000000"/>
          <w:kern w:val="0"/>
          <w:sz w:val="13"/>
          <w:szCs w:val="13"/>
          <w:lang w:val="en-US" w:eastAsia="zh-CN" w:bidi="ar"/>
        </w:rPr>
        <w:t>6.35 mm</w:t>
      </w:r>
      <w:r>
        <w:rPr>
          <w:rFonts w:hint="eastAsia" w:ascii="宋体" w:hAnsi="宋体" w:eastAsia="宋体" w:cs="宋体"/>
          <w:color w:val="000000"/>
          <w:kern w:val="0"/>
          <w:sz w:val="13"/>
          <w:szCs w:val="13"/>
          <w:lang w:val="en-US" w:eastAsia="zh-CN" w:bidi="ar"/>
        </w:rPr>
        <w:t xml:space="preserve">。 </w:t>
      </w:r>
    </w:p>
    <w:p>
      <w:pPr>
        <w:keepNext w:val="0"/>
        <w:keepLines w:val="0"/>
        <w:widowControl/>
        <w:suppressLineNumbers w:val="0"/>
        <w:ind w:firstLine="390" w:firstLineChars="300"/>
        <w:jc w:val="left"/>
        <w:rPr>
          <w:rFonts w:hint="eastAsia" w:ascii="宋体" w:hAnsi="宋体" w:eastAsia="宋体" w:cs="宋体"/>
          <w:color w:val="000000"/>
          <w:kern w:val="0"/>
          <w:sz w:val="13"/>
          <w:szCs w:val="13"/>
          <w:lang w:val="en-US" w:eastAsia="zh-CN" w:bidi="ar"/>
        </w:rPr>
      </w:pPr>
      <w:r>
        <w:rPr>
          <w:rFonts w:hint="default" w:ascii="宋体" w:hAnsi="宋体" w:eastAsia="宋体" w:cs="宋体"/>
          <w:color w:val="000000"/>
          <w:kern w:val="0"/>
          <w:sz w:val="13"/>
          <w:szCs w:val="13"/>
          <w:lang w:val="en-US" w:eastAsia="zh-CN" w:bidi="ar"/>
        </w:rPr>
        <w:t xml:space="preserve">4. H </w:t>
      </w:r>
      <w:r>
        <w:rPr>
          <w:rFonts w:hint="eastAsia" w:ascii="宋体" w:hAnsi="宋体" w:eastAsia="宋体" w:cs="宋体"/>
          <w:color w:val="000000"/>
          <w:kern w:val="0"/>
          <w:sz w:val="13"/>
          <w:szCs w:val="13"/>
          <w:lang w:val="en-US" w:eastAsia="zh-CN" w:bidi="ar"/>
        </w:rPr>
        <w:t xml:space="preserve">为阀杆关闭位置时的尺寸。 </w:t>
      </w: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5.1.3 阀体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5.1.3.1 阀体采用整体冷拉棒结构；</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5.1.3.2 阀体的厚度和阀座的有效流道孔的最小直径按5.1.2的规定。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5.1.4 阀杆</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5.1.4.1 阀杆应为两截阀杆设计，组装后下阀杆应为非旋转的只上下运动代替旋转升降，以减少每个行程对填料的磨擦，减少阀座和阀杆头之间的咬合。</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5.1.4.2阀杆螺纹应在填料上方，阀杆螺纹的润滑脂与系统介质隔离。</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5.1.4.3阀杆头密封面可在阀杆上直接加工而成，阀杆头采用锥形或球形密</w:t>
      </w:r>
      <w:r>
        <w:rPr>
          <w:rFonts w:hint="default" w:ascii="宋体" w:hAnsi="宋体" w:eastAsia="宋体" w:cs="宋体"/>
          <w:color w:val="000000"/>
          <w:kern w:val="0"/>
          <w:sz w:val="21"/>
          <w:szCs w:val="21"/>
          <w:lang w:val="en-US" w:eastAsia="zh-CN" w:bidi="ar"/>
        </w:rPr>
        <w:t>封面</w:t>
      </w:r>
      <w:r>
        <w:rPr>
          <w:rFonts w:hint="eastAsia" w:ascii="宋体" w:hAnsi="宋体" w:eastAsia="宋体" w:cs="宋体"/>
          <w:color w:val="000000"/>
          <w:kern w:val="0"/>
          <w:sz w:val="21"/>
          <w:szCs w:val="21"/>
          <w:lang w:val="en-US" w:eastAsia="zh-CN" w:bidi="ar"/>
        </w:rPr>
        <w:t>。</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5.1.4.4与填料接触段的阀杆表面粗糙度值应小于Ra0.8 μm。阀杆的设计应具有足够的强度、刚度和稳定性，能够保证阀门在正常的使用工况下不会产生永久变形或损伤。</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5.1.5 填料函和填料</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5.1.5.1 填料函与填料接触表面粗糙度值应小于等于 Ra1.6 μm。</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5.1.5.2填料应采用整体成形PTFE、RPTFE 或柔性石墨填料。</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5.1.5.3 填料在未压紧之前，填料的截面可以是方形、矩形或 V 形等形状。</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5.1.5.4填料的中的填料应在压盖未压紧之前全部装满。</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 检验试验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5.2.1  压力试验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 壳体试验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5.2.1.1.1 试验参数</w:t>
      </w:r>
    </w:p>
    <w:tbl>
      <w:tblPr>
        <w:tblStyle w:val="7"/>
        <w:tblW w:w="6618" w:type="dxa"/>
        <w:jc w:val="center"/>
        <w:tblLayout w:type="fixed"/>
        <w:tblCellMar>
          <w:top w:w="0" w:type="dxa"/>
          <w:left w:w="108" w:type="dxa"/>
          <w:bottom w:w="0" w:type="dxa"/>
          <w:right w:w="108" w:type="dxa"/>
        </w:tblCellMar>
      </w:tblPr>
      <w:tblGrid>
        <w:gridCol w:w="1959"/>
        <w:gridCol w:w="4659"/>
      </w:tblGrid>
      <w:tr>
        <w:tblPrEx>
          <w:tblCellMar>
            <w:top w:w="0" w:type="dxa"/>
            <w:left w:w="108" w:type="dxa"/>
            <w:bottom w:w="0" w:type="dxa"/>
            <w:right w:w="108" w:type="dxa"/>
          </w:tblCellMar>
        </w:tblPrEx>
        <w:trPr>
          <w:trHeight w:val="480" w:hRule="atLeast"/>
          <w:jc w:val="center"/>
        </w:trPr>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试验温度</w:t>
            </w:r>
          </w:p>
        </w:tc>
        <w:tc>
          <w:tcPr>
            <w:tcW w:w="4659"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室温 </w:t>
            </w:r>
          </w:p>
        </w:tc>
      </w:tr>
      <w:tr>
        <w:tblPrEx>
          <w:tblCellMar>
            <w:top w:w="0" w:type="dxa"/>
            <w:left w:w="108" w:type="dxa"/>
            <w:bottom w:w="0" w:type="dxa"/>
            <w:right w:w="108" w:type="dxa"/>
          </w:tblCellMar>
        </w:tblPrEx>
        <w:trPr>
          <w:trHeight w:val="480" w:hRule="atLeast"/>
          <w:jc w:val="center"/>
        </w:trPr>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试验介质</w:t>
            </w:r>
          </w:p>
        </w:tc>
        <w:tc>
          <w:tcPr>
            <w:tcW w:w="4659"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水 </w:t>
            </w:r>
          </w:p>
        </w:tc>
      </w:tr>
      <w:tr>
        <w:tblPrEx>
          <w:tblCellMar>
            <w:top w:w="0" w:type="dxa"/>
            <w:left w:w="108" w:type="dxa"/>
            <w:bottom w:w="0" w:type="dxa"/>
            <w:right w:w="108" w:type="dxa"/>
          </w:tblCellMar>
        </w:tblPrEx>
        <w:trPr>
          <w:trHeight w:val="480" w:hRule="atLeast"/>
          <w:jc w:val="center"/>
        </w:trPr>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试验压力</w:t>
            </w:r>
          </w:p>
        </w:tc>
        <w:tc>
          <w:tcPr>
            <w:tcW w:w="4659"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1.25倍的常温下最大工作压力</w:t>
            </w:r>
          </w:p>
        </w:tc>
      </w:tr>
      <w:tr>
        <w:tblPrEx>
          <w:tblCellMar>
            <w:top w:w="0" w:type="dxa"/>
            <w:left w:w="108" w:type="dxa"/>
            <w:bottom w:w="0" w:type="dxa"/>
            <w:right w:w="108" w:type="dxa"/>
          </w:tblCellMar>
        </w:tblPrEx>
        <w:trPr>
          <w:trHeight w:val="480" w:hRule="atLeast"/>
          <w:jc w:val="center"/>
        </w:trPr>
        <w:tc>
          <w:tcPr>
            <w:tcW w:w="19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试验时间 </w:t>
            </w:r>
          </w:p>
        </w:tc>
        <w:tc>
          <w:tcPr>
            <w:tcW w:w="4659"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≥3min</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5.2.1.1.2 试验设备：超高压试验台。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5.2.1.1.3 壳体强度试验</w:t>
      </w:r>
      <w:r>
        <w:rPr>
          <w:rFonts w:hint="eastAsia" w:ascii="宋体" w:hAnsi="宋体" w:cs="宋体"/>
          <w:color w:val="000000"/>
          <w:kern w:val="0"/>
          <w:sz w:val="21"/>
          <w:szCs w:val="21"/>
          <w:lang w:val="en-US" w:eastAsia="zh-CN" w:bidi="ar"/>
        </w:rPr>
        <w:t>方法</w:t>
      </w:r>
      <w:r>
        <w:rPr>
          <w:rFonts w:hint="eastAsia" w:ascii="宋体" w:hAnsi="宋体" w:eastAsia="宋体" w:cs="宋体"/>
          <w:color w:val="000000"/>
          <w:kern w:val="0"/>
          <w:sz w:val="21"/>
          <w:szCs w:val="21"/>
          <w:lang w:val="en-US" w:eastAsia="zh-CN" w:bidi="ar"/>
        </w:rPr>
        <w:t>按 GB/T 13927 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5.2.1.1.3.</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试验时间不少于3min；</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5.2.1.1.3.</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 试验过程中，不能打开试验台盖及转动</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手柄。</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5.2.1.1.3.</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验收标准：试验时间内，承压壁及固定连接处无可见泄露，结构无变形或损坏即为合格。</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 高压液体密封试验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5.2.1.2.1 高压液体阀杆密封试验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5.2.1.2.1.1 试验参数</w:t>
      </w:r>
    </w:p>
    <w:tbl>
      <w:tblPr>
        <w:tblStyle w:val="7"/>
        <w:tblW w:w="6520" w:type="dxa"/>
        <w:jc w:val="center"/>
        <w:tblLayout w:type="fixed"/>
        <w:tblCellMar>
          <w:top w:w="0" w:type="dxa"/>
          <w:left w:w="108" w:type="dxa"/>
          <w:bottom w:w="0" w:type="dxa"/>
          <w:right w:w="108" w:type="dxa"/>
        </w:tblCellMar>
      </w:tblPr>
      <w:tblGrid>
        <w:gridCol w:w="1942"/>
        <w:gridCol w:w="4578"/>
      </w:tblGrid>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试验温度</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室温 </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试验介质</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水 </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试验压力</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1.1倍的常温下最大工作压力</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试验时间 </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≥1min</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5.2.1.2.1.2 试验设备：超高压试验台。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5.2.1.2.1.3 试验</w:t>
      </w:r>
      <w:r>
        <w:rPr>
          <w:rFonts w:hint="eastAsia" w:ascii="宋体" w:hAnsi="宋体" w:cs="宋体"/>
          <w:color w:val="000000"/>
          <w:kern w:val="0"/>
          <w:sz w:val="21"/>
          <w:szCs w:val="21"/>
          <w:lang w:val="en-US" w:eastAsia="zh-CN" w:bidi="ar"/>
        </w:rPr>
        <w:t>方法</w:t>
      </w:r>
      <w:r>
        <w:rPr>
          <w:rFonts w:hint="eastAsia" w:ascii="宋体" w:hAnsi="宋体" w:eastAsia="宋体" w:cs="宋体"/>
          <w:color w:val="000000"/>
          <w:kern w:val="0"/>
          <w:sz w:val="21"/>
          <w:szCs w:val="21"/>
          <w:lang w:val="en-US" w:eastAsia="zh-CN" w:bidi="ar"/>
        </w:rPr>
        <w:t>按 GB/T 13927 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5.2.1.2.1.4 验收标准：试验时间内，阀门各处无可见泄漏。</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 高压液体阀座密封试验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5.2.1.2.2.1 试验参数</w:t>
      </w:r>
    </w:p>
    <w:tbl>
      <w:tblPr>
        <w:tblStyle w:val="7"/>
        <w:tblW w:w="6520" w:type="dxa"/>
        <w:jc w:val="center"/>
        <w:tblLayout w:type="fixed"/>
        <w:tblCellMar>
          <w:top w:w="0" w:type="dxa"/>
          <w:left w:w="108" w:type="dxa"/>
          <w:bottom w:w="0" w:type="dxa"/>
          <w:right w:w="108" w:type="dxa"/>
        </w:tblCellMar>
      </w:tblPr>
      <w:tblGrid>
        <w:gridCol w:w="1942"/>
        <w:gridCol w:w="4578"/>
      </w:tblGrid>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试验温度</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室温 </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试验介质</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水 </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试验压力</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1.1倍的常温下最大工作压力</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试验时间 </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≥1min</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5.2.1.2.2.2 试验设备：超高压试验台。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 试验</w:t>
      </w:r>
      <w:r>
        <w:rPr>
          <w:rFonts w:hint="eastAsia" w:ascii="宋体" w:hAnsi="宋体" w:cs="宋体"/>
          <w:color w:val="000000"/>
          <w:kern w:val="0"/>
          <w:sz w:val="21"/>
          <w:szCs w:val="21"/>
          <w:lang w:val="en-US" w:eastAsia="zh-CN" w:bidi="ar"/>
        </w:rPr>
        <w:t>方法</w:t>
      </w:r>
      <w:r>
        <w:rPr>
          <w:rFonts w:hint="eastAsia" w:ascii="宋体" w:hAnsi="宋体" w:eastAsia="宋体" w:cs="宋体"/>
          <w:color w:val="000000"/>
          <w:kern w:val="0"/>
          <w:sz w:val="21"/>
          <w:szCs w:val="21"/>
          <w:lang w:val="en-US" w:eastAsia="zh-CN" w:bidi="ar"/>
        </w:rPr>
        <w:t>按 GB/T 13927 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5.2.1.2.2.3.1将手柄旋至部分开启，用软接转换接头将</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的一个进口端接到试验台上；</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5.2.1.2.2.3.2 操作试验台加压，让水从</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端口流出，排空</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和管道内的空气；</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5.2.1.2.2.3.3 水流稳定后，保持流水，用规定的力矩</w:t>
      </w:r>
      <w:r>
        <w:rPr>
          <w:rFonts w:hint="eastAsia" w:ascii="宋体" w:hAnsi="宋体" w:eastAsia="宋体" w:cs="宋体"/>
          <w:color w:val="auto"/>
          <w:kern w:val="0"/>
          <w:sz w:val="21"/>
          <w:szCs w:val="21"/>
          <w:lang w:val="en-US" w:eastAsia="zh-CN" w:bidi="ar"/>
        </w:rPr>
        <w:t>（见附件A）</w:t>
      </w:r>
      <w:r>
        <w:rPr>
          <w:rFonts w:hint="eastAsia" w:ascii="宋体" w:hAnsi="宋体" w:eastAsia="宋体" w:cs="宋体"/>
          <w:color w:val="000000"/>
          <w:kern w:val="0"/>
          <w:sz w:val="21"/>
          <w:szCs w:val="21"/>
          <w:lang w:val="en-US" w:eastAsia="zh-CN" w:bidi="ar"/>
        </w:rPr>
        <w:t>旋紧手柄关闭阀门，同时停止加压；</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5.2.1.2.2.3.4 关上试验台盖，操作试验台加压，使压力缓慢增加至试验压力；</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5.2.1.2.2.3.5 试验时间不少于1min。</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5.2.1.2.2.4 验收标准：试验时间内，阀门出口处无可见泄漏。</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 气体密封试验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 气体阀杆密封试验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5.2.1.3.1.1 试验参数</w:t>
      </w:r>
    </w:p>
    <w:tbl>
      <w:tblPr>
        <w:tblStyle w:val="7"/>
        <w:tblW w:w="6520" w:type="dxa"/>
        <w:jc w:val="center"/>
        <w:tblLayout w:type="fixed"/>
        <w:tblCellMar>
          <w:top w:w="0" w:type="dxa"/>
          <w:left w:w="108" w:type="dxa"/>
          <w:bottom w:w="0" w:type="dxa"/>
          <w:right w:w="108" w:type="dxa"/>
        </w:tblCellMar>
      </w:tblPr>
      <w:tblGrid>
        <w:gridCol w:w="1942"/>
        <w:gridCol w:w="4578"/>
      </w:tblGrid>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试验温度</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室温 </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试验介质</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氮气</w:t>
            </w:r>
          </w:p>
        </w:tc>
      </w:tr>
      <w:tr>
        <w:tblPrEx>
          <w:tblCellMar>
            <w:top w:w="0" w:type="dxa"/>
            <w:left w:w="108" w:type="dxa"/>
            <w:bottom w:w="0" w:type="dxa"/>
            <w:right w:w="108" w:type="dxa"/>
          </w:tblCellMar>
        </w:tblPrEx>
        <w:trPr>
          <w:trHeight w:val="482"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试验压力</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40MPa</w:t>
            </w:r>
          </w:p>
        </w:tc>
      </w:tr>
      <w:tr>
        <w:tblPrEx>
          <w:tblCellMar>
            <w:top w:w="0" w:type="dxa"/>
            <w:left w:w="108" w:type="dxa"/>
            <w:bottom w:w="0" w:type="dxa"/>
            <w:right w:w="108" w:type="dxa"/>
          </w:tblCellMar>
        </w:tblPrEx>
        <w:trPr>
          <w:trHeight w:val="438" w:hRule="atLeast"/>
          <w:jc w:val="center"/>
        </w:trPr>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试验时间 </w:t>
            </w:r>
          </w:p>
        </w:tc>
        <w:tc>
          <w:tcPr>
            <w:tcW w:w="4578"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≥15s</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5.2.1.3.1.2 试验设备: 气体压力试验台。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 试验</w:t>
      </w:r>
      <w:r>
        <w:rPr>
          <w:rFonts w:hint="eastAsia" w:ascii="宋体" w:hAnsi="宋体" w:cs="宋体"/>
          <w:color w:val="000000"/>
          <w:kern w:val="0"/>
          <w:sz w:val="21"/>
          <w:szCs w:val="21"/>
          <w:lang w:val="en-US" w:eastAsia="zh-CN" w:bidi="ar"/>
        </w:rPr>
        <w:t>方法</w:t>
      </w:r>
      <w:r>
        <w:rPr>
          <w:rFonts w:hint="eastAsia" w:ascii="宋体" w:hAnsi="宋体" w:eastAsia="宋体" w:cs="宋体"/>
          <w:color w:val="000000"/>
          <w:kern w:val="0"/>
          <w:sz w:val="21"/>
          <w:szCs w:val="21"/>
          <w:lang w:val="en-US" w:eastAsia="zh-CN" w:bidi="ar"/>
        </w:rPr>
        <w:t>按 GB/T 13927 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5.2.1.3.1.3.1 将手柄旋至部分开启，用堵头堵住</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出口端和多余的进口端, 用软接转换接头将</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的一个进口端与试验台相连接；</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5.2.1.3.1.3.2 将</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放置于水池之中，水面必须漫过</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表面；</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5.2.1.3.1.3.3 操作试验台加压，使压力缓慢增加至试验压力；</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5.2.1.3.1.3.4将手柄来回旋转2圈；</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5.2.1.3.1.3.5 试验时间不少于15s。</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5.2.1.3.1.4 验收标准：试验时间内，无气泡冒出。</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 低压气体阀座密封试验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5.2.1.3.2.1 试验参数如下表</w:t>
      </w:r>
    </w:p>
    <w:tbl>
      <w:tblPr>
        <w:tblStyle w:val="7"/>
        <w:tblW w:w="4098" w:type="dxa"/>
        <w:jc w:val="center"/>
        <w:tblLayout w:type="fixed"/>
        <w:tblCellMar>
          <w:top w:w="0" w:type="dxa"/>
          <w:left w:w="108" w:type="dxa"/>
          <w:bottom w:w="0" w:type="dxa"/>
          <w:right w:w="108" w:type="dxa"/>
        </w:tblCellMar>
      </w:tblPr>
      <w:tblGrid>
        <w:gridCol w:w="1973"/>
        <w:gridCol w:w="2125"/>
      </w:tblGrid>
      <w:tr>
        <w:tblPrEx>
          <w:tblCellMar>
            <w:top w:w="0" w:type="dxa"/>
            <w:left w:w="108" w:type="dxa"/>
            <w:bottom w:w="0" w:type="dxa"/>
            <w:right w:w="108" w:type="dxa"/>
          </w:tblCellMar>
        </w:tblPrEx>
        <w:trPr>
          <w:trHeight w:val="482" w:hRule="atLeast"/>
          <w:jc w:val="center"/>
        </w:trPr>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试验温度</w:t>
            </w:r>
          </w:p>
        </w:tc>
        <w:tc>
          <w:tcPr>
            <w:tcW w:w="212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室温 </w:t>
            </w:r>
          </w:p>
        </w:tc>
      </w:tr>
      <w:tr>
        <w:tblPrEx>
          <w:tblCellMar>
            <w:top w:w="0" w:type="dxa"/>
            <w:left w:w="108" w:type="dxa"/>
            <w:bottom w:w="0" w:type="dxa"/>
            <w:right w:w="108" w:type="dxa"/>
          </w:tblCellMar>
        </w:tblPrEx>
        <w:trPr>
          <w:trHeight w:val="482" w:hRule="atLeast"/>
          <w:jc w:val="center"/>
        </w:trPr>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试验介质</w:t>
            </w:r>
          </w:p>
        </w:tc>
        <w:tc>
          <w:tcPr>
            <w:tcW w:w="212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氮气</w:t>
            </w:r>
          </w:p>
        </w:tc>
      </w:tr>
      <w:tr>
        <w:tblPrEx>
          <w:tblCellMar>
            <w:top w:w="0" w:type="dxa"/>
            <w:left w:w="108" w:type="dxa"/>
            <w:bottom w:w="0" w:type="dxa"/>
            <w:right w:w="108" w:type="dxa"/>
          </w:tblCellMar>
        </w:tblPrEx>
        <w:trPr>
          <w:trHeight w:val="482" w:hRule="atLeast"/>
          <w:jc w:val="center"/>
        </w:trPr>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试验压力</w:t>
            </w:r>
          </w:p>
        </w:tc>
        <w:tc>
          <w:tcPr>
            <w:tcW w:w="212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40MPa</w:t>
            </w:r>
          </w:p>
        </w:tc>
      </w:tr>
      <w:tr>
        <w:tblPrEx>
          <w:tblCellMar>
            <w:top w:w="0" w:type="dxa"/>
            <w:left w:w="108" w:type="dxa"/>
            <w:bottom w:w="0" w:type="dxa"/>
            <w:right w:w="108" w:type="dxa"/>
          </w:tblCellMar>
        </w:tblPrEx>
        <w:trPr>
          <w:trHeight w:val="482" w:hRule="atLeast"/>
          <w:jc w:val="center"/>
        </w:trPr>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试验时间 </w:t>
            </w:r>
          </w:p>
        </w:tc>
        <w:tc>
          <w:tcPr>
            <w:tcW w:w="2125" w:type="dxa"/>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≥15s</w:t>
            </w:r>
          </w:p>
        </w:tc>
      </w:tr>
    </w:tbl>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5.2.1.3.2.2 试验设备: 气体压力试验台。</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5.2.1.3.2.3 试验</w:t>
      </w:r>
      <w:r>
        <w:rPr>
          <w:rFonts w:hint="eastAsia" w:ascii="宋体" w:hAnsi="宋体" w:cs="宋体"/>
          <w:color w:val="000000"/>
          <w:kern w:val="0"/>
          <w:sz w:val="21"/>
          <w:szCs w:val="21"/>
          <w:lang w:val="en-US" w:eastAsia="zh-CN" w:bidi="ar"/>
        </w:rPr>
        <w:t>方法</w:t>
      </w:r>
      <w:r>
        <w:rPr>
          <w:rFonts w:hint="eastAsia" w:ascii="宋体" w:hAnsi="宋体" w:eastAsia="宋体" w:cs="宋体"/>
          <w:color w:val="000000"/>
          <w:kern w:val="0"/>
          <w:sz w:val="21"/>
          <w:szCs w:val="21"/>
          <w:lang w:val="en-US" w:eastAsia="zh-CN" w:bidi="ar"/>
        </w:rPr>
        <w:t>按 GB/T 13927 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5.2.1.3.2.3.1用堵头堵住</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多余的进口端, 按规定的力矩</w:t>
      </w:r>
      <w:r>
        <w:rPr>
          <w:rFonts w:hint="eastAsia" w:ascii="宋体" w:hAnsi="宋体" w:eastAsia="宋体" w:cs="宋体"/>
          <w:color w:val="auto"/>
          <w:kern w:val="0"/>
          <w:sz w:val="21"/>
          <w:szCs w:val="21"/>
          <w:lang w:val="en-US" w:eastAsia="zh-CN" w:bidi="ar"/>
        </w:rPr>
        <w:t>（见附件A）旋</w:t>
      </w:r>
      <w:r>
        <w:rPr>
          <w:rFonts w:hint="eastAsia" w:ascii="宋体" w:hAnsi="宋体" w:eastAsia="宋体" w:cs="宋体"/>
          <w:color w:val="000000"/>
          <w:kern w:val="0"/>
          <w:sz w:val="21"/>
          <w:szCs w:val="21"/>
          <w:lang w:val="en-US" w:eastAsia="zh-CN" w:bidi="ar"/>
        </w:rPr>
        <w:t>紧手柄关闭阀门，用软接转换接头将</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的一个进口端与试验台相连接；</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5.2.1.3.2.3.2 将</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放置于水池之中，水面必须漫过</w:t>
      </w:r>
      <w:r>
        <w:rPr>
          <w:rFonts w:hint="eastAsia" w:ascii="宋体" w:hAnsi="宋体" w:cs="宋体"/>
          <w:color w:val="000000"/>
          <w:kern w:val="0"/>
          <w:sz w:val="21"/>
          <w:szCs w:val="21"/>
          <w:lang w:val="en-US" w:eastAsia="zh-CN" w:bidi="ar"/>
        </w:rPr>
        <w:t>超高压针形阀</w:t>
      </w:r>
      <w:r>
        <w:rPr>
          <w:rFonts w:hint="eastAsia" w:ascii="宋体" w:hAnsi="宋体" w:eastAsia="宋体" w:cs="宋体"/>
          <w:color w:val="000000"/>
          <w:kern w:val="0"/>
          <w:sz w:val="21"/>
          <w:szCs w:val="21"/>
          <w:lang w:val="en-US" w:eastAsia="zh-CN" w:bidi="ar"/>
        </w:rPr>
        <w:t>表面；</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5.2.1.3.2.3.3 操作试验台加压，使压力缓慢增加至试验压力；</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5.2.1.3.2.3.4 试验时间不少于15s。</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5.2.1.3.2.4 验收标准：试验时间内，无气泡冒出。</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5.2.2 整机带载开关试验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在正常载荷情况下，开关三次。试验压力应是阀门在常温下的最大允许额定压力或订货合同规定的试验压力。</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5.2.</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 xml:space="preserve"> 静压寿命 </w:t>
      </w:r>
    </w:p>
    <w:p>
      <w:pPr>
        <w:keepNext w:val="0"/>
        <w:keepLines w:val="0"/>
        <w:widowControl/>
        <w:suppressLineNumbers w:val="0"/>
        <w:ind w:firstLine="420" w:firstLineChars="200"/>
        <w:jc w:val="left"/>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超高压</w:t>
      </w:r>
      <w:r>
        <w:rPr>
          <w:rFonts w:hint="default" w:ascii="宋体" w:hAnsi="宋体" w:eastAsia="宋体" w:cs="宋体"/>
          <w:color w:val="auto"/>
          <w:kern w:val="0"/>
          <w:sz w:val="21"/>
          <w:szCs w:val="21"/>
          <w:lang w:val="en-US" w:eastAsia="zh-CN" w:bidi="ar"/>
        </w:rPr>
        <w:t>针形阀</w:t>
      </w:r>
      <w:r>
        <w:rPr>
          <w:rFonts w:hint="eastAsia" w:ascii="宋体" w:hAnsi="宋体" w:eastAsia="宋体" w:cs="宋体"/>
          <w:color w:val="auto"/>
          <w:kern w:val="0"/>
          <w:sz w:val="21"/>
          <w:szCs w:val="21"/>
          <w:lang w:val="en-US" w:eastAsia="zh-CN" w:bidi="ar"/>
        </w:rPr>
        <w:t>压寿命试验应符合JB/T 8859 的规定，静压寿命次数按GB/T 12235的规定。</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5.2.</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 xml:space="preserve"> 清洁度要求 </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color w:val="auto"/>
          <w:kern w:val="0"/>
          <w:sz w:val="21"/>
          <w:szCs w:val="21"/>
          <w:lang w:val="en-US" w:eastAsia="zh-CN" w:bidi="ar"/>
        </w:rPr>
        <w:t>超高压</w:t>
      </w:r>
      <w:r>
        <w:rPr>
          <w:rFonts w:hint="default" w:ascii="宋体" w:hAnsi="宋体" w:eastAsia="宋体" w:cs="宋体"/>
          <w:color w:val="auto"/>
          <w:kern w:val="0"/>
          <w:sz w:val="21"/>
          <w:szCs w:val="21"/>
          <w:lang w:val="en-US" w:eastAsia="zh-CN" w:bidi="ar"/>
        </w:rPr>
        <w:t>针形阀内脏表</w:t>
      </w:r>
      <w:r>
        <w:rPr>
          <w:rFonts w:hint="default" w:ascii="宋体" w:hAnsi="宋体" w:eastAsia="宋体" w:cs="宋体"/>
          <w:color w:val="000000"/>
          <w:kern w:val="0"/>
          <w:sz w:val="21"/>
          <w:szCs w:val="21"/>
          <w:lang w:val="en-US" w:eastAsia="zh-CN" w:bidi="ar"/>
        </w:rPr>
        <w:t xml:space="preserve">面（包括所有内件表面）所含杂质和污物的质量总和应不大于 </w:t>
      </w:r>
      <w:r>
        <w:rPr>
          <w:rFonts w:hint="eastAsia" w:ascii="宋体" w:hAnsi="宋体" w:eastAsia="宋体" w:cs="宋体"/>
          <w:color w:val="000000"/>
          <w:kern w:val="0"/>
          <w:sz w:val="21"/>
          <w:szCs w:val="21"/>
          <w:lang w:val="en-US" w:eastAsia="zh-CN" w:bidi="ar"/>
        </w:rPr>
        <w:t>0.</w:t>
      </w:r>
      <w:r>
        <w:rPr>
          <w:rFonts w:hint="default" w:ascii="宋体" w:hAnsi="宋体" w:eastAsia="宋体" w:cs="宋体"/>
          <w:color w:val="000000"/>
          <w:kern w:val="0"/>
          <w:sz w:val="21"/>
          <w:szCs w:val="21"/>
          <w:lang w:val="en-US" w:eastAsia="zh-CN" w:bidi="ar"/>
        </w:rPr>
        <w:t>03</w:t>
      </w:r>
      <w:r>
        <w:rPr>
          <w:rFonts w:hint="eastAsia" w:ascii="宋体" w:hAnsi="宋体" w:eastAsia="宋体" w:cs="宋体"/>
          <w:color w:val="000000"/>
          <w:kern w:val="0"/>
          <w:sz w:val="21"/>
          <w:szCs w:val="21"/>
          <w:lang w:val="en-US" w:eastAsia="zh-CN" w:bidi="ar"/>
        </w:rPr>
        <w:t>g</w:t>
      </w:r>
      <w:r>
        <w:rPr>
          <w:rFonts w:hint="default" w:ascii="宋体" w:hAnsi="宋体" w:eastAsia="宋体" w:cs="宋体"/>
          <w:color w:val="000000"/>
          <w:kern w:val="0"/>
          <w:sz w:val="21"/>
          <w:szCs w:val="21"/>
          <w:lang w:val="en-US" w:eastAsia="zh-CN" w:bidi="ar"/>
        </w:rPr>
        <w:t>。</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 试验方法</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6.1试验方法</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6.1.1压力试验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6.1.1.1壳体试验应符合5.2.1.1的规定。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6.1.1.2高压液体密封试验应符合5.2.1.2的规定。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6.1.1.3气体密封试验应符合5.2.1.3的规定。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6.1.2材料化学成分分析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在阀体和阀杆的本体材料上，采用光谱分析法或化学法进行材料元素分析。</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6.1.3阀体材质力学性能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用阀体同材质、同炉号、同批次热处理的试棒，按GB/T 228.1规定的方法进行</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6.1.4阀体标志检查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目视检查阀体表面或打印标记内容。</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6.1.5带压启闭操作试验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在最大允许工作压差工况下,阀门从全关到全开再到全关为1次启闭操作。循环启闭操作 20 次后,阀门应能正常操作、无卡阻等现象。带压启闭操作后,进行密封性能试验应符合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5.2.1.2</w:t>
      </w:r>
      <w:r>
        <w:rPr>
          <w:rFonts w:hint="eastAsia" w:ascii="宋体" w:hAnsi="宋体" w:eastAsia="宋体" w:cs="宋体"/>
          <w:color w:val="auto"/>
          <w:kern w:val="0"/>
          <w:sz w:val="21"/>
          <w:szCs w:val="21"/>
          <w:lang w:val="en-US" w:eastAsia="zh-CN" w:bidi="ar"/>
        </w:rPr>
        <w:t>的要求，阀杆填料能保持密封，阀杆、填料压盖等零件没有明显的磨损。</w:t>
      </w:r>
    </w:p>
    <w:p>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6.1.6</w:t>
      </w:r>
      <w:r>
        <w:rPr>
          <w:rFonts w:ascii="黑体" w:hAnsi="宋体" w:eastAsia="黑体" w:cs="黑体"/>
          <w:color w:val="auto"/>
          <w:kern w:val="0"/>
          <w:sz w:val="21"/>
          <w:szCs w:val="21"/>
          <w:lang w:val="en-US" w:eastAsia="zh-CN" w:bidi="ar"/>
        </w:rPr>
        <w:t xml:space="preserve">静压寿命试验 </w:t>
      </w:r>
    </w:p>
    <w:p>
      <w:pPr>
        <w:keepNext w:val="0"/>
        <w:keepLines w:val="0"/>
        <w:widowControl/>
        <w:suppressLineNumbers w:val="0"/>
        <w:jc w:val="left"/>
        <w:rPr>
          <w:rFonts w:hint="eastAsia" w:ascii="宋体" w:hAnsi="宋体" w:eastAsia="宋体" w:cs="宋体"/>
          <w:b/>
          <w:bCs/>
          <w:color w:val="auto"/>
          <w:kern w:val="0"/>
          <w:sz w:val="21"/>
          <w:szCs w:val="21"/>
          <w:lang w:val="en-US" w:eastAsia="zh-CN" w:bidi="ar"/>
        </w:rPr>
      </w:pPr>
      <w:r>
        <w:rPr>
          <w:rFonts w:hint="eastAsia" w:ascii="宋体" w:hAnsi="宋体" w:eastAsia="宋体" w:cs="宋体"/>
          <w:color w:val="auto"/>
          <w:kern w:val="0"/>
          <w:sz w:val="21"/>
          <w:szCs w:val="21"/>
          <w:lang w:val="en-US" w:eastAsia="zh-CN" w:bidi="ar"/>
        </w:rPr>
        <w:t>除了符合本标准 5.2.</w:t>
      </w:r>
      <w:r>
        <w:rPr>
          <w:rFonts w:hint="eastAsia" w:ascii="宋体" w:hAnsi="宋体" w:cs="宋体"/>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 xml:space="preserve"> 的规定内容外，阀门的寿命试验还应符合 JB/T 8859 的有关规定。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w:t>
      </w: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 清洁度</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清洁度的试验方法按 JB/T7748 </w:t>
      </w:r>
      <w:r>
        <w:rPr>
          <w:rFonts w:hint="default" w:ascii="宋体" w:hAnsi="宋体" w:eastAsia="宋体" w:cs="宋体"/>
          <w:color w:val="000000"/>
          <w:kern w:val="0"/>
          <w:sz w:val="21"/>
          <w:szCs w:val="21"/>
          <w:lang w:val="en-US" w:eastAsia="zh-CN" w:bidi="ar"/>
        </w:rPr>
        <w:t>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 检验规则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.1 出厂检验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阀门应逐台进行出厂检验和试验，检验合格后方可出厂。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.2 型式检验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.2.1 有下列情况之一时，应进行型式检验：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a) 新产品或老产品转厂生产的试制定型鉴定；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b) 正常生产时，定期或积累一定产量后应周期性进行一次检验；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c) 正式生产后，如结构、材料、工艺有较大改变可能影响产品性能；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d) 产品长期停产后恢复生产；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e) 出厂检验结果与上次型式检验有较大差异；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f) 国家质量监督机构提出进行型式检验的要求。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.2.2 型式检验时，采用抽样的方式。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.3 检验项目、技术要求和检验方法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检验项目、技术要求和检验方法按表3的规定。 </w:t>
      </w:r>
    </w:p>
    <w:p>
      <w:pPr>
        <w:keepNext w:val="0"/>
        <w:keepLines w:val="0"/>
        <w:widowControl/>
        <w:suppressLineNumbers w:val="0"/>
        <w:jc w:val="center"/>
      </w:pPr>
      <w:r>
        <w:rPr>
          <w:rFonts w:ascii="黑体" w:hAnsi="宋体" w:eastAsia="黑体" w:cs="黑体"/>
          <w:color w:val="000000"/>
          <w:kern w:val="0"/>
          <w:sz w:val="21"/>
          <w:szCs w:val="21"/>
          <w:lang w:val="en-US" w:eastAsia="zh-CN" w:bidi="ar"/>
        </w:rPr>
        <w:t>表</w:t>
      </w:r>
      <w:r>
        <w:rPr>
          <w:rFonts w:hint="eastAsia" w:ascii="黑体" w:hAnsi="宋体" w:eastAsia="黑体" w:cs="黑体"/>
          <w:color w:val="000000"/>
          <w:kern w:val="0"/>
          <w:sz w:val="21"/>
          <w:szCs w:val="21"/>
          <w:lang w:val="en-US" w:eastAsia="zh-CN" w:bidi="ar"/>
        </w:rPr>
        <w:t>3</w:t>
      </w:r>
      <w:r>
        <w:rPr>
          <w:rFonts w:ascii="黑体" w:hAnsi="宋体" w:eastAsia="黑体" w:cs="黑体"/>
          <w:color w:val="000000"/>
          <w:kern w:val="0"/>
          <w:sz w:val="21"/>
          <w:szCs w:val="21"/>
          <w:lang w:val="en-US" w:eastAsia="zh-CN" w:bidi="ar"/>
        </w:rPr>
        <w:t xml:space="preserve"> 检验项目、技术要求和检验方法</w:t>
      </w:r>
    </w:p>
    <w:p>
      <w:pPr>
        <w:keepNext w:val="0"/>
        <w:keepLines w:val="0"/>
        <w:widowControl/>
        <w:suppressLineNumbers w:val="0"/>
        <w:jc w:val="left"/>
        <w:rPr>
          <w:rFonts w:hint="default" w:ascii="黑体" w:hAnsi="宋体" w:eastAsia="黑体" w:cs="黑体"/>
          <w:color w:val="000000"/>
          <w:kern w:val="0"/>
          <w:sz w:val="21"/>
          <w:szCs w:val="21"/>
          <w:lang w:val="en-US" w:eastAsia="zh-CN" w:bidi="ar"/>
        </w:rPr>
      </w:pPr>
    </w:p>
    <w:tbl>
      <w:tblPr>
        <w:tblStyle w:val="7"/>
        <w:tblW w:w="7383" w:type="dxa"/>
        <w:tblInd w:w="0" w:type="dxa"/>
        <w:shd w:val="clear" w:color="auto" w:fill="auto"/>
        <w:tblLayout w:type="autofit"/>
        <w:tblCellMar>
          <w:top w:w="0" w:type="dxa"/>
          <w:left w:w="0" w:type="dxa"/>
          <w:bottom w:w="0" w:type="dxa"/>
          <w:right w:w="0" w:type="dxa"/>
        </w:tblCellMar>
      </w:tblPr>
      <w:tblGrid>
        <w:gridCol w:w="504"/>
        <w:gridCol w:w="2550"/>
        <w:gridCol w:w="1085"/>
        <w:gridCol w:w="1084"/>
        <w:gridCol w:w="1080"/>
        <w:gridCol w:w="1080"/>
      </w:tblGrid>
      <w:tr>
        <w:trPr>
          <w:trHeight w:val="270" w:hRule="atLeast"/>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检验项目</w:t>
            </w:r>
          </w:p>
        </w:tc>
        <w:tc>
          <w:tcPr>
            <w:tcW w:w="216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检验类别</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技术要求</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检验方法</w:t>
            </w:r>
          </w:p>
        </w:tc>
      </w:tr>
      <w:tr>
        <w:tblPrEx>
          <w:shd w:val="clear" w:color="auto" w:fill="auto"/>
          <w:tblCellMar>
            <w:top w:w="0" w:type="dxa"/>
            <w:left w:w="0" w:type="dxa"/>
            <w:bottom w:w="0" w:type="dxa"/>
            <w:right w:w="0" w:type="dxa"/>
          </w:tblCellMar>
        </w:tblPrEx>
        <w:trPr>
          <w:trHeight w:val="270" w:hRule="atLeast"/>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出厂检验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型式检验</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壳体试验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5.2.1.1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6.1.1.1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高压液体密封试验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6.1.1.2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气体密封试验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5.2.1.</w:t>
            </w:r>
            <w:r>
              <w:rPr>
                <w:rFonts w:hint="eastAsia" w:ascii="宋体" w:hAnsi="宋体" w:cs="宋体"/>
                <w:color w:val="000000"/>
                <w:kern w:val="0"/>
                <w:sz w:val="21"/>
                <w:szCs w:val="21"/>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color w:val="000000"/>
                <w:kern w:val="0"/>
                <w:sz w:val="21"/>
                <w:szCs w:val="21"/>
                <w:lang w:val="en-US" w:eastAsia="zh-CN" w:bidi="ar"/>
              </w:rPr>
              <w:t>6.1.1.</w:t>
            </w:r>
            <w:r>
              <w:rPr>
                <w:rFonts w:hint="eastAsia" w:ascii="宋体" w:hAnsi="宋体" w:cs="宋体"/>
                <w:color w:val="000000"/>
                <w:kern w:val="0"/>
                <w:sz w:val="21"/>
                <w:szCs w:val="21"/>
                <w:lang w:val="en-US" w:eastAsia="zh-CN" w:bidi="ar"/>
              </w:rPr>
              <w:t>3</w:t>
            </w: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材质成分分析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r>
              <w:rPr>
                <w:rStyle w:val="17"/>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r>
              <w:rPr>
                <w:rFonts w:hint="eastAsia" w:ascii="宋体" w:hAnsi="宋体" w:eastAsia="宋体" w:cs="宋体"/>
                <w:i w:val="0"/>
                <w:color w:val="000000"/>
                <w:sz w:val="22"/>
                <w:szCs w:val="22"/>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6.1.2</w:t>
            </w: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阀体材质力学性能试验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r>
              <w:rPr>
                <w:rStyle w:val="17"/>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r>
              <w:rPr>
                <w:rFonts w:hint="eastAsia" w:ascii="宋体" w:hAnsi="宋体" w:eastAsia="宋体" w:cs="宋体"/>
                <w:i w:val="0"/>
                <w:color w:val="000000"/>
                <w:sz w:val="22"/>
                <w:szCs w:val="22"/>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6.1.3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带压启闭操作试验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r>
              <w:rPr>
                <w:rStyle w:val="17"/>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5.2.</w:t>
            </w:r>
            <w:r>
              <w:rPr>
                <w:rFonts w:hint="eastAsia" w:ascii="宋体" w:hAnsi="宋体" w:cs="宋体"/>
                <w:color w:val="000000"/>
                <w:kern w:val="0"/>
                <w:sz w:val="21"/>
                <w:szCs w:val="21"/>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eastAsia="宋体" w:cs="宋体"/>
                <w:color w:val="000000"/>
                <w:kern w:val="0"/>
                <w:sz w:val="21"/>
                <w:szCs w:val="21"/>
                <w:lang w:val="en-US" w:eastAsia="zh-CN" w:bidi="ar"/>
              </w:rPr>
              <w:t>6.1.5</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阀体标志检查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r>
              <w:rPr>
                <w:rStyle w:val="17"/>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r>
              <w:rPr>
                <w:rFonts w:hint="eastAsia" w:ascii="宋体" w:hAnsi="宋体" w:eastAsia="宋体" w:cs="宋体"/>
                <w:i w:val="0"/>
                <w:color w:val="000000"/>
                <w:sz w:val="22"/>
                <w:szCs w:val="22"/>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r>
              <w:rPr>
                <w:rFonts w:hint="eastAsia" w:ascii="宋体" w:hAnsi="宋体" w:eastAsia="宋体" w:cs="宋体"/>
                <w:i w:val="0"/>
                <w:color w:val="000000"/>
                <w:sz w:val="22"/>
                <w:szCs w:val="22"/>
                <w:u w:val="none"/>
                <w:lang w:val="en-US" w:eastAsia="zh-CN"/>
              </w:rPr>
              <w:t>.2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2"/>
                <w:szCs w:val="22"/>
                <w:u w:val="none"/>
              </w:rPr>
            </w:pPr>
            <w:r>
              <w:rPr>
                <w:rFonts w:hint="eastAsia" w:ascii="宋体" w:hAnsi="宋体" w:eastAsia="宋体" w:cs="宋体"/>
                <w:b w:val="0"/>
                <w:bCs w:val="0"/>
                <w:i w:val="0"/>
                <w:color w:val="auto"/>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2"/>
                <w:szCs w:val="22"/>
                <w:u w:val="none"/>
              </w:rPr>
            </w:pPr>
            <w:r>
              <w:rPr>
                <w:rFonts w:ascii="黑体" w:hAnsi="宋体" w:eastAsia="黑体" w:cs="黑体"/>
                <w:b w:val="0"/>
                <w:bCs w:val="0"/>
                <w:color w:val="auto"/>
                <w:kern w:val="0"/>
                <w:sz w:val="21"/>
                <w:szCs w:val="21"/>
                <w:lang w:val="en-US" w:eastAsia="zh-CN" w:bidi="ar"/>
              </w:rPr>
              <w:t>静压寿命试验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2"/>
                <w:szCs w:val="22"/>
                <w:u w:val="none"/>
              </w:rPr>
            </w:pPr>
            <w:r>
              <w:rPr>
                <w:rFonts w:hint="eastAsia" w:ascii="宋体" w:hAnsi="宋体" w:eastAsia="宋体" w:cs="宋体"/>
                <w:b w:val="0"/>
                <w:bCs w:val="0"/>
                <w:i w:val="0"/>
                <w:color w:val="auto"/>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2"/>
                <w:szCs w:val="22"/>
                <w:u w:val="none"/>
              </w:rPr>
            </w:pPr>
            <w:r>
              <w:rPr>
                <w:rFonts w:hint="eastAsia" w:ascii="宋体" w:hAnsi="宋体" w:eastAsia="宋体" w:cs="宋体"/>
                <w:b w:val="0"/>
                <w:bCs w:val="0"/>
                <w:i w:val="0"/>
                <w:color w:val="auto"/>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val="0"/>
                <w:bCs w:val="0"/>
                <w:i w:val="0"/>
                <w:color w:val="auto"/>
                <w:sz w:val="22"/>
                <w:szCs w:val="22"/>
                <w:u w:val="none"/>
              </w:rPr>
            </w:pPr>
            <w:r>
              <w:rPr>
                <w:rFonts w:hint="eastAsia" w:ascii="黑体" w:hAnsi="宋体" w:eastAsia="黑体" w:cs="黑体"/>
                <w:b w:val="0"/>
                <w:bCs w:val="0"/>
                <w:color w:val="auto"/>
                <w:kern w:val="0"/>
                <w:sz w:val="21"/>
                <w:szCs w:val="21"/>
                <w:lang w:val="en-US" w:eastAsia="zh-CN" w:bidi="ar"/>
              </w:rPr>
              <w:t>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val="0"/>
                <w:bCs w:val="0"/>
                <w:i w:val="0"/>
                <w:color w:val="auto"/>
                <w:sz w:val="22"/>
                <w:szCs w:val="22"/>
                <w:u w:val="none"/>
              </w:rPr>
            </w:pPr>
            <w:r>
              <w:rPr>
                <w:rFonts w:hint="eastAsia" w:ascii="宋体" w:hAnsi="宋体" w:eastAsia="宋体" w:cs="宋体"/>
                <w:b w:val="0"/>
                <w:bCs w:val="0"/>
                <w:color w:val="auto"/>
                <w:kern w:val="0"/>
                <w:sz w:val="21"/>
                <w:szCs w:val="21"/>
                <w:lang w:val="en-US" w:eastAsia="zh-CN" w:bidi="ar"/>
              </w:rPr>
              <w:t>6.1.</w:t>
            </w:r>
            <w:r>
              <w:rPr>
                <w:rFonts w:hint="eastAsia" w:ascii="宋体" w:hAnsi="宋体" w:cs="宋体"/>
                <w:b w:val="0"/>
                <w:bCs w:val="0"/>
                <w:color w:val="auto"/>
                <w:kern w:val="0"/>
                <w:sz w:val="21"/>
                <w:szCs w:val="21"/>
                <w:lang w:val="en-US" w:eastAsia="zh-CN" w:bidi="ar"/>
              </w:rPr>
              <w:t>6</w:t>
            </w:r>
            <w:r>
              <w:rPr>
                <w:rFonts w:hint="eastAsia" w:ascii="宋体" w:hAnsi="宋体" w:eastAsia="宋体" w:cs="宋体"/>
                <w:b w:val="0"/>
                <w:bCs w:val="0"/>
                <w:color w:val="auto"/>
                <w:kern w:val="0"/>
                <w:sz w:val="21"/>
                <w:szCs w:val="21"/>
                <w:lang w:val="en-US" w:eastAsia="zh-CN" w:bidi="ar"/>
              </w:rPr>
              <w:t xml:space="preserve"> </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清洁度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r>
              <w:rPr>
                <w:rStyle w:val="17"/>
                <w:lang w:val="en-US" w:eastAsia="zh-CN" w:bidi="ar"/>
              </w:rPr>
              <w: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2"/>
                <w:sz w:val="22"/>
                <w:szCs w:val="22"/>
                <w:u w:val="none"/>
                <w:lang w:val="en-US" w:eastAsia="zh-CN" w:bidi="ar-SA"/>
              </w:rPr>
            </w:pPr>
            <w:r>
              <w:rPr>
                <w:rFonts w:hint="eastAsia" w:ascii="黑体" w:hAnsi="宋体" w:eastAsia="黑体" w:cs="黑体"/>
                <w:color w:val="000000"/>
                <w:kern w:val="0"/>
                <w:sz w:val="21"/>
                <w:szCs w:val="21"/>
                <w:lang w:val="en-US" w:eastAsia="zh-CN" w:bidi="ar"/>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color w:val="000000"/>
                <w:kern w:val="0"/>
                <w:sz w:val="21"/>
                <w:szCs w:val="21"/>
                <w:lang w:val="en-US" w:eastAsia="zh-CN" w:bidi="ar"/>
              </w:rPr>
              <w:t>6.1.</w:t>
            </w: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 </w:t>
            </w:r>
          </w:p>
        </w:tc>
      </w:tr>
      <w:tr>
        <w:tblPrEx>
          <w:tblCellMar>
            <w:top w:w="0" w:type="dxa"/>
            <w:left w:w="0" w:type="dxa"/>
            <w:bottom w:w="0" w:type="dxa"/>
            <w:right w:w="0" w:type="dxa"/>
          </w:tblCellMar>
        </w:tblPrEx>
        <w:trPr>
          <w:trHeight w:val="27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黑体" w:hAnsi="宋体" w:eastAsia="黑体" w:cs="黑体"/>
                <w:i w:val="0"/>
                <w:color w:val="000000"/>
                <w:sz w:val="18"/>
                <w:szCs w:val="18"/>
                <w:u w:val="none"/>
              </w:rPr>
            </w:pPr>
            <w:r>
              <w:rPr>
                <w:rFonts w:hint="eastAsia" w:ascii="黑体" w:hAnsi="宋体" w:eastAsia="黑体" w:cs="黑体"/>
                <w:i w:val="0"/>
                <w:color w:val="000000"/>
                <w:kern w:val="0"/>
                <w:sz w:val="18"/>
                <w:szCs w:val="18"/>
                <w:u w:val="none"/>
                <w:lang w:val="en-US" w:eastAsia="zh-CN" w:bidi="ar"/>
              </w:rPr>
              <w:t>注：“√”为检验项目，“—”为不检验项目。</w:t>
            </w:r>
          </w:p>
        </w:tc>
      </w:tr>
      <w:tr>
        <w:tblPrEx>
          <w:tblCellMar>
            <w:top w:w="0" w:type="dxa"/>
            <w:left w:w="0" w:type="dxa"/>
            <w:bottom w:w="0" w:type="dxa"/>
            <w:right w:w="0" w:type="dxa"/>
          </w:tblCellMar>
        </w:tblPrEx>
        <w:trPr>
          <w:trHeight w:val="27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a 该项目在零件进货检验或加工过程阶段适时进行检查。</w:t>
            </w:r>
          </w:p>
        </w:tc>
      </w:tr>
    </w:tbl>
    <w:p>
      <w:pPr>
        <w:rPr>
          <w:rFonts w:hint="eastAsia" w:ascii="宋体" w:hAnsi="宋体"/>
          <w:sz w:val="24"/>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.4 抽样方法 </w:t>
      </w:r>
    </w:p>
    <w:p>
      <w:pPr>
        <w:keepNext w:val="0"/>
        <w:keepLines w:val="0"/>
        <w:widowControl/>
        <w:suppressLineNumbers w:val="0"/>
        <w:jc w:val="left"/>
      </w:pPr>
      <w:r>
        <w:rPr>
          <w:rFonts w:hint="eastAsia" w:ascii="黑体" w:hAnsi="宋体" w:eastAsia="黑体" w:cs="黑体"/>
          <w:color w:val="000000"/>
          <w:kern w:val="0"/>
          <w:sz w:val="21"/>
          <w:szCs w:val="21"/>
          <w:lang w:val="en-US" w:eastAsia="zh-CN" w:bidi="ar"/>
        </w:rPr>
        <w:t xml:space="preserve">7.4.1 </w:t>
      </w:r>
      <w:r>
        <w:rPr>
          <w:rFonts w:hint="eastAsia" w:ascii="宋体" w:hAnsi="宋体" w:eastAsia="宋体" w:cs="宋体"/>
          <w:color w:val="000000"/>
          <w:kern w:val="0"/>
          <w:sz w:val="21"/>
          <w:szCs w:val="21"/>
          <w:lang w:val="en-US" w:eastAsia="zh-CN" w:bidi="ar"/>
        </w:rPr>
        <w:t xml:space="preserve">抽样可以在生产线的终端经检验合格的产品中随机抽取，也可以在产品成品库中随机抽取， 或者从已供给用户但未使用并保持出厂状态的产品中随机抽取。每一规格供抽样的最小基数 3 台和抽样数 1 台。对整个系列产品进行质量考核时，根据该系列范围大小情况从中抽取 2～3 个典型规格进行检验。 </w:t>
      </w:r>
    </w:p>
    <w:p>
      <w:pPr>
        <w:keepNext w:val="0"/>
        <w:keepLines w:val="0"/>
        <w:widowControl/>
        <w:suppressLineNumbers w:val="0"/>
        <w:jc w:val="left"/>
      </w:pPr>
      <w:r>
        <w:rPr>
          <w:rFonts w:hint="eastAsia" w:ascii="黑体" w:hAnsi="宋体" w:eastAsia="黑体" w:cs="黑体"/>
          <w:color w:val="000000"/>
          <w:kern w:val="0"/>
          <w:sz w:val="21"/>
          <w:szCs w:val="21"/>
          <w:lang w:val="en-US" w:eastAsia="zh-CN" w:bidi="ar"/>
        </w:rPr>
        <w:t xml:space="preserve">7.4.2 </w:t>
      </w:r>
      <w:r>
        <w:rPr>
          <w:rFonts w:hint="eastAsia" w:ascii="宋体" w:hAnsi="宋体" w:eastAsia="宋体" w:cs="宋体"/>
          <w:color w:val="000000"/>
          <w:kern w:val="0"/>
          <w:sz w:val="21"/>
          <w:szCs w:val="21"/>
          <w:lang w:val="en-US" w:eastAsia="zh-CN" w:bidi="ar"/>
        </w:rPr>
        <w:t xml:space="preserve">型式检验的全部检验项目都应符合表 </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 中基数要求的规定。</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.4.3 型式检验的全部检验项目都应符合表 3中的规定为合格，否则为不合格。</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 标志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.1 标志的内容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截止阀应按 GB/T 12220 的规定进行标记，并应符合本标准 7.2的规定。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.2 阀体的标志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.2.1 在阀体上须注有下列的永久标记：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——制造厂名或商标标志；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阀体材料或代号；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压力；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产品型号；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熔炼炉号或锻打批号；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产品的生产系列编号</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 供货要求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.1 一般要求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阀门的供货要求应符合JB/T 7928的规定。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  包装、贮存及运输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.2.1 阀门在试验合格后，应清除阀门表面的油污脏物，内腔应清除残存的试验介质。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.2.2 阀门应包装发运，包装应满足运输和贮运的要求，宜采用包装箱进行包装，并加以固定。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.2.3 在运输期间，阀门应当处于全关闭状态，防止贮运和安装过程中损坏密封面。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.2.4 阀门出厂时应有产品合格证、产品使用说明书及装箱单。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 xml:space="preserve">.2.5 阀门应保存在干燥的室内，堆放整齐，不允许露天存放，以防止损坏和腐蚀。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 质量承诺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.1 制造单位应保证所提供的货物是全新的、未使用的，并在各个方面符合合同规定的质量、规格和性能要求。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 xml:space="preserve">.2 产品自交付客户验收合格后 24 个月内，因制造质量不良而发生损坏或不能正常工作，制造单位应负责免费更换或维修；24 个月后制造单位还应提供设备的终身服务。 </w:t>
      </w:r>
    </w:p>
    <w:p>
      <w:pPr>
        <w:rPr>
          <w:rFonts w:hint="eastAsia" w:ascii="宋体" w:hAnsi="宋体"/>
          <w:sz w:val="24"/>
        </w:rPr>
      </w:pPr>
    </w:p>
    <w:p>
      <w:pPr>
        <w:rPr>
          <w:rFonts w:ascii="宋体" w:hAnsi="宋体" w:cs="宋体"/>
          <w:kern w:val="0"/>
          <w:sz w:val="24"/>
        </w:rPr>
      </w:pPr>
    </w:p>
    <w:p>
      <w:pPr>
        <w:rPr>
          <w:rFonts w:ascii="宋体" w:hAnsi="宋体"/>
          <w:sz w:val="24"/>
        </w:rPr>
      </w:pPr>
      <w:r>
        <w:rPr>
          <w:rFonts w:ascii="宋体" w:hAnsi="宋体" w:cs="宋体"/>
          <w:kern w:val="0"/>
          <w:sz w:val="24"/>
        </w:rPr>
        <mc:AlternateContent>
          <mc:Choice Requires="wps">
            <w:drawing>
              <wp:anchor distT="0" distB="0" distL="114300" distR="114300" simplePos="0" relativeHeight="251661312" behindDoc="0" locked="0" layoutInCell="1" allowOverlap="1">
                <wp:simplePos x="0" y="0"/>
                <wp:positionH relativeFrom="column">
                  <wp:posOffset>1647825</wp:posOffset>
                </wp:positionH>
                <wp:positionV relativeFrom="paragraph">
                  <wp:posOffset>35560</wp:posOffset>
                </wp:positionV>
                <wp:extent cx="2057400" cy="0"/>
                <wp:effectExtent l="0" t="0" r="0" b="0"/>
                <wp:wrapNone/>
                <wp:docPr id="3" name="直线 116"/>
                <wp:cNvGraphicFramePr/>
                <a:graphic xmlns:a="http://schemas.openxmlformats.org/drawingml/2006/main">
                  <a:graphicData uri="http://schemas.microsoft.com/office/word/2010/wordprocessingShape">
                    <wps:wsp>
                      <wps:cNvCnPr/>
                      <wps:spPr>
                        <a:xfrm>
                          <a:off x="0" y="0"/>
                          <a:ext cx="20574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129.75pt;margin-top:2.8pt;height:0pt;width:162pt;z-index:251661312;mso-width-relative:page;mso-height-relative:page;" filled="f" stroked="t" coordsize="21600,21600" o:gfxdata="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xFcO0wAA&#10;AAcBAAAPAAAAAAAAAAEAIAAAACIAAABkcnMvZG93bnJldi54bWxQSwECFAAUAAAACACHTuJAawD/&#10;u+oBAADeAwAADgAAAAAAAAABACAAAAAiAQAAZHJzL2Uyb0RvYy54bWxQSwUGAAAAAAYABgBZAQAA&#10;fgUAAAAA&#10;">
                <v:fill on="f" focussize="0,0"/>
                <v:stroke weight="1.5pt" color="#000000" joinstyle="round"/>
                <v:imagedata o:title=""/>
                <o:lock v:ext="edit" aspectratio="f"/>
              </v:line>
            </w:pict>
          </mc:Fallback>
        </mc:AlternateContent>
      </w:r>
    </w:p>
    <w:p>
      <w:pPr>
        <w:rPr>
          <w:rFonts w:ascii="宋体" w:hAnsi="宋体"/>
          <w:sz w:val="28"/>
          <w:szCs w:val="28"/>
        </w:rPr>
      </w:pPr>
      <w:r>
        <w:rPr>
          <w:rFonts w:hint="eastAsia" w:ascii="宋体" w:hAnsi="宋体"/>
          <w:sz w:val="28"/>
          <w:szCs w:val="28"/>
        </w:rPr>
        <w:t>编制：</w:t>
      </w:r>
    </w:p>
    <w:p>
      <w:pPr>
        <w:rPr>
          <w:rFonts w:ascii="宋体" w:hAnsi="宋体"/>
          <w:sz w:val="28"/>
          <w:szCs w:val="28"/>
        </w:rPr>
      </w:pPr>
      <w:r>
        <w:rPr>
          <w:rFonts w:hint="eastAsia" w:ascii="宋体" w:hAnsi="宋体"/>
          <w:sz w:val="28"/>
          <w:szCs w:val="28"/>
        </w:rPr>
        <w:t>审核：</w:t>
      </w:r>
    </w:p>
    <w:p>
      <w:pPr>
        <w:rPr>
          <w:rFonts w:hint="eastAsia" w:ascii="宋体" w:hAnsi="宋体"/>
          <w:sz w:val="28"/>
          <w:szCs w:val="28"/>
        </w:rPr>
      </w:pPr>
      <w:r>
        <w:rPr>
          <w:rFonts w:hint="eastAsia" w:ascii="宋体" w:hAnsi="宋体"/>
          <w:sz w:val="28"/>
          <w:szCs w:val="28"/>
        </w:rPr>
        <w:t>批准：</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idowControl/>
        <w:jc w:val="left"/>
        <w:rPr>
          <w:rFonts w:ascii="宋体" w:hAnsi="宋体" w:cs="宋体"/>
          <w:kern w:val="0"/>
          <w:sz w:val="24"/>
        </w:rPr>
      </w:pPr>
    </w:p>
    <w:p>
      <w:pPr>
        <w:ind w:firstLine="482" w:firstLineChars="200"/>
        <w:jc w:val="center"/>
        <w:rPr>
          <w:rFonts w:hint="eastAsia" w:ascii="宋体" w:hAnsi="宋体"/>
          <w:sz w:val="28"/>
          <w:szCs w:val="28"/>
        </w:rPr>
      </w:pPr>
      <w:r>
        <w:rPr>
          <w:rFonts w:hint="eastAsia" w:ascii="宋体" w:hAnsi="宋体" w:cs="宋体"/>
          <w:b/>
          <w:kern w:val="0"/>
          <w:sz w:val="24"/>
        </w:rPr>
        <w:t>附件A</w:t>
      </w:r>
    </w:p>
    <w:tbl>
      <w:tblPr>
        <w:tblStyle w:val="8"/>
        <w:tblW w:w="833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76"/>
        <w:gridCol w:w="1484"/>
        <w:gridCol w:w="1417"/>
        <w:gridCol w:w="141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76" w:type="dxa"/>
          </w:tcPr>
          <w:p>
            <w:pPr>
              <w:jc w:val="center"/>
              <w:rPr>
                <w:rFonts w:ascii="宋体" w:hAnsi="宋体" w:cs="宋体"/>
                <w:kern w:val="0"/>
                <w:sz w:val="24"/>
              </w:rPr>
            </w:pPr>
            <w:r>
              <w:rPr>
                <w:rFonts w:hint="eastAsia" w:ascii="宋体" w:hAnsi="宋体" w:cs="宋体"/>
                <w:kern w:val="0"/>
                <w:sz w:val="24"/>
              </w:rPr>
              <w:t>型号</w:t>
            </w:r>
          </w:p>
        </w:tc>
        <w:tc>
          <w:tcPr>
            <w:tcW w:w="1484" w:type="dxa"/>
          </w:tcPr>
          <w:p>
            <w:pPr>
              <w:rPr>
                <w:rFonts w:ascii="宋体" w:hAnsi="宋体" w:cs="宋体"/>
                <w:kern w:val="0"/>
                <w:sz w:val="24"/>
              </w:rPr>
            </w:pPr>
            <w:r>
              <w:rPr>
                <w:rFonts w:hint="eastAsia" w:ascii="宋体" w:hAnsi="宋体" w:cs="宋体"/>
                <w:kern w:val="0"/>
                <w:sz w:val="24"/>
                <w:lang w:val="en-US" w:eastAsia="zh-CN"/>
              </w:rPr>
              <w:t>V3</w:t>
            </w:r>
            <w:r>
              <w:rPr>
                <w:rFonts w:hint="eastAsia" w:ascii="宋体" w:hAnsi="宋体" w:cs="宋体"/>
                <w:kern w:val="0"/>
                <w:sz w:val="24"/>
              </w:rPr>
              <w:t>0-</w:t>
            </w:r>
            <w:r>
              <w:rPr>
                <w:rFonts w:hint="eastAsia" w:ascii="宋体" w:hAnsi="宋体" w:cs="宋体"/>
                <w:kern w:val="0"/>
                <w:sz w:val="24"/>
                <w:lang w:val="en-US" w:eastAsia="zh-CN"/>
              </w:rPr>
              <w:t>S</w:t>
            </w:r>
            <w:r>
              <w:rPr>
                <w:rFonts w:hint="eastAsia" w:ascii="宋体" w:hAnsi="宋体" w:cs="宋体"/>
                <w:kern w:val="0"/>
                <w:sz w:val="24"/>
              </w:rPr>
              <w:t>4-**</w:t>
            </w:r>
          </w:p>
        </w:tc>
        <w:tc>
          <w:tcPr>
            <w:tcW w:w="1417" w:type="dxa"/>
          </w:tcPr>
          <w:p>
            <w:pPr>
              <w:rPr>
                <w:rFonts w:ascii="宋体" w:hAnsi="宋体" w:cs="宋体"/>
                <w:kern w:val="0"/>
                <w:sz w:val="24"/>
              </w:rPr>
            </w:pPr>
            <w:r>
              <w:rPr>
                <w:rFonts w:hint="eastAsia" w:ascii="宋体" w:hAnsi="宋体" w:cs="宋体"/>
                <w:kern w:val="0"/>
                <w:sz w:val="24"/>
                <w:lang w:val="en-US" w:eastAsia="zh-CN"/>
              </w:rPr>
              <w:t>V3</w:t>
            </w:r>
            <w:r>
              <w:rPr>
                <w:rFonts w:hint="eastAsia" w:ascii="宋体" w:hAnsi="宋体" w:cs="宋体"/>
                <w:kern w:val="0"/>
                <w:sz w:val="24"/>
              </w:rPr>
              <w:t>0-</w:t>
            </w:r>
            <w:r>
              <w:rPr>
                <w:rFonts w:hint="eastAsia" w:ascii="宋体" w:hAnsi="宋体" w:cs="宋体"/>
                <w:kern w:val="0"/>
                <w:sz w:val="24"/>
                <w:lang w:val="en-US" w:eastAsia="zh-CN"/>
              </w:rPr>
              <w:t>S</w:t>
            </w:r>
            <w:r>
              <w:rPr>
                <w:rFonts w:hint="eastAsia" w:ascii="宋体" w:hAnsi="宋体" w:cs="宋体"/>
                <w:kern w:val="0"/>
                <w:sz w:val="24"/>
              </w:rPr>
              <w:t>6-**</w:t>
            </w:r>
          </w:p>
        </w:tc>
        <w:tc>
          <w:tcPr>
            <w:tcW w:w="1418" w:type="dxa"/>
            <w:tcBorders>
              <w:left w:val="single" w:color="auto" w:sz="4" w:space="0"/>
            </w:tcBorders>
          </w:tcPr>
          <w:p>
            <w:pPr>
              <w:rPr>
                <w:rFonts w:ascii="宋体" w:hAnsi="宋体" w:cs="宋体"/>
                <w:kern w:val="0"/>
                <w:sz w:val="24"/>
              </w:rPr>
            </w:pPr>
            <w:r>
              <w:rPr>
                <w:rFonts w:hint="eastAsia" w:ascii="宋体" w:hAnsi="宋体" w:cs="宋体"/>
                <w:kern w:val="0"/>
                <w:sz w:val="24"/>
                <w:lang w:val="en-US" w:eastAsia="zh-CN"/>
              </w:rPr>
              <w:t>V</w:t>
            </w:r>
            <w:r>
              <w:rPr>
                <w:rFonts w:hint="eastAsia" w:ascii="宋体" w:hAnsi="宋体" w:cs="宋体"/>
                <w:kern w:val="0"/>
                <w:sz w:val="24"/>
              </w:rPr>
              <w:t>30-</w:t>
            </w:r>
            <w:r>
              <w:rPr>
                <w:rFonts w:hint="eastAsia" w:ascii="宋体" w:hAnsi="宋体" w:cs="宋体"/>
                <w:kern w:val="0"/>
                <w:sz w:val="24"/>
                <w:lang w:val="en-US" w:eastAsia="zh-CN"/>
              </w:rPr>
              <w:t>S</w:t>
            </w:r>
            <w:r>
              <w:rPr>
                <w:rFonts w:hint="eastAsia" w:ascii="宋体" w:hAnsi="宋体" w:cs="宋体"/>
                <w:kern w:val="0"/>
                <w:sz w:val="24"/>
              </w:rPr>
              <w:t>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76" w:type="dxa"/>
          </w:tcPr>
          <w:p>
            <w:pPr>
              <w:rPr>
                <w:rFonts w:ascii="宋体" w:hAnsi="宋体" w:cs="宋体"/>
                <w:kern w:val="0"/>
                <w:sz w:val="24"/>
              </w:rPr>
            </w:pPr>
            <w:r>
              <w:rPr>
                <w:rFonts w:hint="eastAsia" w:ascii="宋体" w:hAnsi="宋体" w:cs="宋体"/>
                <w:kern w:val="0"/>
                <w:sz w:val="24"/>
              </w:rPr>
              <w:t>关闭力矩（N·m）</w:t>
            </w:r>
          </w:p>
        </w:tc>
        <w:tc>
          <w:tcPr>
            <w:tcW w:w="1484" w:type="dxa"/>
          </w:tcPr>
          <w:p>
            <w:pPr>
              <w:jc w:val="center"/>
              <w:rPr>
                <w:rFonts w:ascii="宋体" w:hAnsi="宋体" w:cs="宋体"/>
                <w:kern w:val="0"/>
                <w:sz w:val="24"/>
              </w:rPr>
            </w:pPr>
          </w:p>
          <w:p>
            <w:pPr>
              <w:jc w:val="center"/>
              <w:rPr>
                <w:rFonts w:ascii="宋体" w:hAnsi="宋体" w:cs="宋体"/>
                <w:kern w:val="0"/>
                <w:sz w:val="24"/>
              </w:rPr>
            </w:pPr>
            <w:r>
              <w:rPr>
                <w:rFonts w:hint="eastAsia" w:ascii="宋体" w:hAnsi="宋体" w:cs="宋体"/>
                <w:kern w:val="0"/>
                <w:sz w:val="24"/>
                <w:lang w:val="en-US" w:eastAsia="zh-CN"/>
              </w:rPr>
              <w:t>3</w:t>
            </w:r>
          </w:p>
        </w:tc>
        <w:tc>
          <w:tcPr>
            <w:tcW w:w="1417" w:type="dxa"/>
          </w:tcPr>
          <w:p>
            <w:pPr>
              <w:jc w:val="center"/>
              <w:rPr>
                <w:rFonts w:ascii="宋体" w:hAnsi="宋体" w:cs="宋体"/>
                <w:kern w:val="0"/>
                <w:sz w:val="24"/>
              </w:rPr>
            </w:pPr>
          </w:p>
          <w:p>
            <w:pPr>
              <w:jc w:val="center"/>
              <w:rPr>
                <w:rFonts w:ascii="宋体" w:hAnsi="宋体" w:cs="宋体"/>
                <w:kern w:val="0"/>
                <w:sz w:val="24"/>
              </w:rPr>
            </w:pPr>
            <w:r>
              <w:rPr>
                <w:rFonts w:hint="eastAsia" w:ascii="宋体" w:hAnsi="宋体" w:cs="宋体"/>
                <w:kern w:val="0"/>
                <w:sz w:val="24"/>
                <w:lang w:val="en-US" w:eastAsia="zh-CN"/>
              </w:rPr>
              <w:t>3</w:t>
            </w:r>
          </w:p>
        </w:tc>
        <w:tc>
          <w:tcPr>
            <w:tcW w:w="1418" w:type="dxa"/>
            <w:tcBorders>
              <w:left w:val="single" w:color="auto" w:sz="4" w:space="0"/>
            </w:tcBorders>
          </w:tcPr>
          <w:p>
            <w:pPr>
              <w:jc w:val="center"/>
              <w:rPr>
                <w:rFonts w:ascii="宋体" w:hAnsi="宋体" w:cs="宋体"/>
                <w:kern w:val="0"/>
                <w:sz w:val="24"/>
              </w:rPr>
            </w:pPr>
          </w:p>
          <w:p>
            <w:pPr>
              <w:jc w:val="center"/>
              <w:rPr>
                <w:rFonts w:ascii="宋体" w:hAnsi="宋体" w:cs="宋体"/>
                <w:kern w:val="0"/>
                <w:sz w:val="24"/>
              </w:rPr>
            </w:pPr>
            <w:r>
              <w:rPr>
                <w:rFonts w:hint="eastAsia" w:ascii="宋体" w:hAnsi="宋体" w:cs="宋体"/>
                <w:kern w:val="0"/>
                <w:sz w:val="24"/>
              </w:rPr>
              <w:t>3</w:t>
            </w:r>
          </w:p>
        </w:tc>
      </w:tr>
    </w:tbl>
    <w:p>
      <w:pPr>
        <w:rPr>
          <w:rFonts w:hint="eastAsia" w:ascii="宋体" w:hAnsi="宋体"/>
          <w:sz w:val="28"/>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c">
          <w:drawing>
            <wp:inline distT="0" distB="0" distL="114300" distR="114300">
              <wp:extent cx="5257800" cy="199390"/>
              <wp:effectExtent l="0" t="0" r="0" b="0"/>
              <wp:docPr id="5"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 name="直线 10"/>
                      <wps:cNvCnPr/>
                      <wps:spPr>
                        <a:xfrm flipV="1">
                          <a:off x="0" y="98240"/>
                          <a:ext cx="5257800" cy="1455"/>
                        </a:xfrm>
                        <a:prstGeom prst="line">
                          <a:avLst/>
                        </a:prstGeom>
                        <a:ln w="6350" cap="flat" cmpd="sng">
                          <a:solidFill>
                            <a:srgbClr val="000000"/>
                          </a:solidFill>
                          <a:prstDash val="solid"/>
                          <a:headEnd type="none" w="med" len="med"/>
                          <a:tailEnd type="none" w="med" len="med"/>
                        </a:ln>
                      </wps:spPr>
                      <wps:bodyPr upright="1"/>
                    </wps:wsp>
                  </wpc:wpc>
                </a:graphicData>
              </a:graphic>
            </wp:inline>
          </w:drawing>
        </mc:Choice>
        <mc:Fallback>
          <w:pict>
            <v:group id="画布 9" o:spid="_x0000_s1026" o:spt="203" style="height:15.7pt;width:414pt;" coordsize="5257800,199390" editas="canvas" o:gfxdata="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fpnlPVAAAABAEAAA8A&#10;AAAAAAAAAQAgAAAAIgAAAGRycy9kb3ducmV2LnhtbFBLAQIUABQAAAAIAIdO4kC3rPIXUwIAABwF&#10;AAAOAAAAAAAAAAEAIAAAACQBAABkcnMvZTJvRG9jLnhtbFBLBQYAAAAABgAGAFkBAADpBQAAAAA=&#10;">
              <o:lock v:ext="edit" aspectratio="f"/>
              <v:shape id="画布 9" o:spid="_x0000_s1026" style="position:absolute;left:0;top:0;height:199390;width:5257800;" filled="f" stroked="f" coordsize="21600,21600" o:gfxdata="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meU9UAAAAEAQAADwAAAAAAAAABACAAAAAiAAAAZHJzL2Rvd25yZXYueG1sUEsBAhQAFAAA&#10;AAgAh07iQCYNSz4rAgAApAQAAA4AAAAAAAAAAQAgAAAAJAEAAGRycy9lMm9Eb2MueG1sUEsFBgAA&#10;AAAGAAYAWQEAAMEFAAAAAA==&#10;">
                <v:fill on="f" focussize="0,0"/>
                <v:stroke on="f"/>
                <v:imagedata o:title=""/>
                <o:lock v:ext="edit" aspectratio="t"/>
              </v:shape>
              <v:line id="直线 10" o:spid="_x0000_s1026" o:spt="20" style="position:absolute;left:0;top:98240;flip:y;height:1455;width:5257800;" filled="f" stroked="t" coordsize="21600,21600" o:gfxdata="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zh2G1QAAAAQBAAAPAAAAAAAAAAEAIAAAACIAAABkcnMvZG93bnJldi54bWxQSwECFAAU&#10;AAAACACHTuJAvhTVZ/QBAADtAwAADgAAAAAAAAABACAAAAAkAQAAZHJzL2Uyb0RvYy54bWxQSwUG&#10;AAAAAAYABgBZAQAAigUAAAAA&#10;">
                <v:fill on="f" focussize="0,0"/>
                <v:stroke weight="0.5pt" color="#000000" joinstyle="round"/>
                <v:imagedata o:title=""/>
                <o:lock v:ext="edit" aspectratio="f"/>
              </v:line>
              <w10:wrap type="none"/>
              <w10:anchorlock/>
            </v:group>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3"/>
      </w:pBdr>
      <w:jc w:val="both"/>
      <w:rPr>
        <w:rFonts w:hint="eastAsia" w:ascii="Arial" w:hAnsi="Arial" w:cs="Arial"/>
        <w:b/>
        <w:sz w:val="24"/>
        <w:szCs w:val="24"/>
      </w:rPr>
    </w:pPr>
    <w:r>
      <w:rPr>
        <w:rFonts w:hint="eastAsia" w:ascii="Arial" w:hAnsi="Arial" w:cs="Arial"/>
        <w:b/>
        <w:sz w:val="24"/>
        <w:szCs w:val="24"/>
      </w:rPr>
      <w:drawing>
        <wp:anchor distT="0" distB="0" distL="114300" distR="114300" simplePos="0" relativeHeight="251660288" behindDoc="1" locked="0" layoutInCell="0" allowOverlap="1">
          <wp:simplePos x="0" y="0"/>
          <wp:positionH relativeFrom="page">
            <wp:posOffset>1123315</wp:posOffset>
          </wp:positionH>
          <wp:positionV relativeFrom="page">
            <wp:posOffset>478790</wp:posOffset>
          </wp:positionV>
          <wp:extent cx="971550" cy="320040"/>
          <wp:effectExtent l="0" t="0" r="0" b="381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
                  <a:stretch>
                    <a:fillRect/>
                  </a:stretch>
                </pic:blipFill>
                <pic:spPr>
                  <a:xfrm>
                    <a:off x="0" y="0"/>
                    <a:ext cx="971550" cy="320040"/>
                  </a:xfrm>
                  <a:prstGeom prst="rect">
                    <a:avLst/>
                  </a:prstGeom>
                  <a:noFill/>
                  <a:ln w="9525">
                    <a:noFill/>
                  </a:ln>
                </pic:spPr>
              </pic:pic>
            </a:graphicData>
          </a:graphic>
        </wp:anchor>
      </w:drawing>
    </w:r>
    <w:r>
      <w:rPr>
        <w:rFonts w:hint="eastAsia" w:ascii="Arial" w:hAnsi="Arial" w:cs="Arial"/>
        <w:b/>
        <w:sz w:val="32"/>
        <w:szCs w:val="32"/>
      </w:rPr>
      <w:t xml:space="preserve">                </w:t>
    </w:r>
    <w:r>
      <w:rPr>
        <w:rFonts w:hint="eastAsia" w:ascii="Arial" w:hAnsi="Arial" w:cs="Arial"/>
        <w:b/>
        <w:sz w:val="32"/>
        <w:szCs w:val="32"/>
        <w:lang w:val="en-US" w:eastAsia="zh-CN"/>
      </w:rPr>
      <w:t xml:space="preserve">    </w:t>
    </w:r>
    <w:r>
      <w:rPr>
        <w:rFonts w:hint="eastAsia" w:ascii="Arial" w:hAnsi="Arial" w:cs="Arial"/>
        <w:b/>
        <w:sz w:val="32"/>
        <w:szCs w:val="32"/>
      </w:rPr>
      <w:t xml:space="preserve"> </w:t>
    </w:r>
    <w:r>
      <w:rPr>
        <w:rFonts w:hint="eastAsia" w:ascii="Arial" w:hAnsi="Arial" w:cs="Arial"/>
        <w:b/>
        <w:sz w:val="24"/>
        <w:szCs w:val="24"/>
        <w:lang w:eastAsia="zh-CN"/>
      </w:rPr>
      <w:t>方顿</w:t>
    </w:r>
    <w:r>
      <w:rPr>
        <w:rFonts w:hint="eastAsia" w:ascii="Arial" w:hAnsi="Arial" w:cs="Arial"/>
        <w:b/>
        <w:sz w:val="24"/>
        <w:szCs w:val="24"/>
      </w:rPr>
      <w:t xml:space="preserve">技术标准   </w:t>
    </w:r>
    <w:r>
      <w:rPr>
        <w:rFonts w:hint="eastAsia" w:ascii="Arial" w:hAnsi="Arial" w:cs="Arial"/>
        <w:b/>
        <w:sz w:val="24"/>
        <w:szCs w:val="24"/>
        <w:lang w:val="en-US" w:eastAsia="zh-CN"/>
      </w:rPr>
      <w:t xml:space="preserve">            </w:t>
    </w:r>
    <w:r>
      <w:rPr>
        <w:rFonts w:hint="eastAsia" w:ascii="Arial" w:hAnsi="Arial" w:cs="Arial"/>
        <w:b/>
        <w:sz w:val="24"/>
        <w:szCs w:val="24"/>
      </w:rPr>
      <w:t xml:space="preserve"> </w:t>
    </w:r>
    <w:r>
      <w:rPr>
        <w:rFonts w:hint="eastAsia" w:ascii="宋体" w:hAnsi="宋体" w:cs="Arial"/>
        <w:b/>
        <w:sz w:val="24"/>
        <w:szCs w:val="24"/>
      </w:rPr>
      <w:t>FDS02</w:t>
    </w:r>
    <w:r>
      <w:rPr>
        <w:rFonts w:hint="eastAsia" w:ascii="宋体" w:hAnsi="宋体" w:cs="Arial"/>
        <w:b/>
        <w:sz w:val="24"/>
        <w:szCs w:val="24"/>
        <w:lang w:val="en-US" w:eastAsia="zh-CN"/>
      </w:rPr>
      <w:t>7</w:t>
    </w:r>
    <w:r>
      <w:rPr>
        <w:rFonts w:hint="eastAsia" w:ascii="宋体" w:hAnsi="宋体" w:cs="Arial"/>
        <w:b/>
        <w:sz w:val="24"/>
        <w:szCs w:val="24"/>
      </w:rPr>
      <w:t>R1-</w:t>
    </w:r>
    <w:r>
      <w:rPr>
        <w:rFonts w:hint="eastAsia" w:ascii="宋体" w:hAnsi="宋体" w:cs="Arial"/>
        <w:b/>
        <w:sz w:val="24"/>
        <w:szCs w:val="24"/>
        <w:lang w:val="en-US" w:eastAsia="zh-CN"/>
      </w:rPr>
      <w:t>22</w:t>
    </w:r>
    <w:r>
      <w:rPr>
        <w:rFonts w:hint="eastAsia" w:ascii="宋体" w:hAnsi="宋体" w:cs="Arial"/>
        <w:b/>
        <w:sz w:val="24"/>
        <w:szCs w:val="24"/>
      </w:rPr>
      <w:t>S2</w:t>
    </w:r>
  </w:p>
  <w:p>
    <w:pPr>
      <w:pStyle w:val="6"/>
      <w:pBdr>
        <w:bottom w:val="single" w:color="auto" w:sz="6" w:space="3"/>
      </w:pBd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CF6DE8"/>
    <w:multiLevelType w:val="singleLevel"/>
    <w:tmpl w:val="DDCF6DE8"/>
    <w:lvl w:ilvl="0" w:tentative="0">
      <w:start w:val="1"/>
      <w:numFmt w:val="decimal"/>
      <w:lvlText w:val="%1."/>
      <w:lvlJc w:val="left"/>
      <w:pPr>
        <w:tabs>
          <w:tab w:val="left" w:pos="312"/>
        </w:tabs>
      </w:pPr>
    </w:lvl>
  </w:abstractNum>
  <w:abstractNum w:abstractNumId="1">
    <w:nsid w:val="7D4C1D1D"/>
    <w:multiLevelType w:val="singleLevel"/>
    <w:tmpl w:val="7D4C1D1D"/>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YjUwZDlkMmYwODQ5NDVjY2ZlZDUxMDhmYmYwMjQifQ=="/>
  </w:docVars>
  <w:rsids>
    <w:rsidRoot w:val="00172A27"/>
    <w:rsid w:val="00004AAC"/>
    <w:rsid w:val="00012238"/>
    <w:rsid w:val="00015B19"/>
    <w:rsid w:val="00017111"/>
    <w:rsid w:val="00021157"/>
    <w:rsid w:val="00022D04"/>
    <w:rsid w:val="000244D9"/>
    <w:rsid w:val="00027195"/>
    <w:rsid w:val="00032D4A"/>
    <w:rsid w:val="00036379"/>
    <w:rsid w:val="00036CCB"/>
    <w:rsid w:val="00036D8D"/>
    <w:rsid w:val="000412B6"/>
    <w:rsid w:val="00043685"/>
    <w:rsid w:val="00043982"/>
    <w:rsid w:val="00043BCB"/>
    <w:rsid w:val="00045000"/>
    <w:rsid w:val="00045646"/>
    <w:rsid w:val="00052344"/>
    <w:rsid w:val="00052685"/>
    <w:rsid w:val="00052A97"/>
    <w:rsid w:val="00056F75"/>
    <w:rsid w:val="000570E2"/>
    <w:rsid w:val="00057D17"/>
    <w:rsid w:val="000618DF"/>
    <w:rsid w:val="00062E86"/>
    <w:rsid w:val="0006398E"/>
    <w:rsid w:val="00070661"/>
    <w:rsid w:val="00073555"/>
    <w:rsid w:val="00077CC5"/>
    <w:rsid w:val="00080BA8"/>
    <w:rsid w:val="000815C2"/>
    <w:rsid w:val="0008209D"/>
    <w:rsid w:val="00084F10"/>
    <w:rsid w:val="000861D2"/>
    <w:rsid w:val="0009184F"/>
    <w:rsid w:val="0009658E"/>
    <w:rsid w:val="00097BFA"/>
    <w:rsid w:val="000A03D6"/>
    <w:rsid w:val="000A3D5C"/>
    <w:rsid w:val="000B4B5F"/>
    <w:rsid w:val="000B5344"/>
    <w:rsid w:val="000B6E13"/>
    <w:rsid w:val="000C32FC"/>
    <w:rsid w:val="000C6864"/>
    <w:rsid w:val="000D2420"/>
    <w:rsid w:val="000D79B0"/>
    <w:rsid w:val="000E0633"/>
    <w:rsid w:val="000E0C11"/>
    <w:rsid w:val="000E3326"/>
    <w:rsid w:val="000F0327"/>
    <w:rsid w:val="000F260F"/>
    <w:rsid w:val="000F2AC3"/>
    <w:rsid w:val="000F520C"/>
    <w:rsid w:val="000F65DB"/>
    <w:rsid w:val="000F6EEB"/>
    <w:rsid w:val="000F722A"/>
    <w:rsid w:val="000F7247"/>
    <w:rsid w:val="001036AD"/>
    <w:rsid w:val="00106AF1"/>
    <w:rsid w:val="001072FC"/>
    <w:rsid w:val="00113180"/>
    <w:rsid w:val="00115CB1"/>
    <w:rsid w:val="00115F96"/>
    <w:rsid w:val="0011779D"/>
    <w:rsid w:val="0012183E"/>
    <w:rsid w:val="00123CBB"/>
    <w:rsid w:val="0012711F"/>
    <w:rsid w:val="00127397"/>
    <w:rsid w:val="00130174"/>
    <w:rsid w:val="00135599"/>
    <w:rsid w:val="001420F2"/>
    <w:rsid w:val="00143EAF"/>
    <w:rsid w:val="0014490C"/>
    <w:rsid w:val="00156B7F"/>
    <w:rsid w:val="0015727B"/>
    <w:rsid w:val="001576E4"/>
    <w:rsid w:val="001577B9"/>
    <w:rsid w:val="00160A3E"/>
    <w:rsid w:val="00163335"/>
    <w:rsid w:val="00163D34"/>
    <w:rsid w:val="00165172"/>
    <w:rsid w:val="001666B9"/>
    <w:rsid w:val="00167158"/>
    <w:rsid w:val="00172E3C"/>
    <w:rsid w:val="00174924"/>
    <w:rsid w:val="00175B83"/>
    <w:rsid w:val="0017734E"/>
    <w:rsid w:val="00184501"/>
    <w:rsid w:val="001865DE"/>
    <w:rsid w:val="00186B16"/>
    <w:rsid w:val="00190AEE"/>
    <w:rsid w:val="001914DA"/>
    <w:rsid w:val="00194978"/>
    <w:rsid w:val="00196E2C"/>
    <w:rsid w:val="001975EE"/>
    <w:rsid w:val="001B035A"/>
    <w:rsid w:val="001B4298"/>
    <w:rsid w:val="001C1FFC"/>
    <w:rsid w:val="001C7FF2"/>
    <w:rsid w:val="001D04B4"/>
    <w:rsid w:val="001D7EE8"/>
    <w:rsid w:val="001E0218"/>
    <w:rsid w:val="001E3978"/>
    <w:rsid w:val="001E5417"/>
    <w:rsid w:val="001F03E6"/>
    <w:rsid w:val="001F3C01"/>
    <w:rsid w:val="001F3D1D"/>
    <w:rsid w:val="002009EF"/>
    <w:rsid w:val="00200CC6"/>
    <w:rsid w:val="00204A0B"/>
    <w:rsid w:val="002108E4"/>
    <w:rsid w:val="00217CD4"/>
    <w:rsid w:val="0022335F"/>
    <w:rsid w:val="00223D62"/>
    <w:rsid w:val="00227924"/>
    <w:rsid w:val="0023284F"/>
    <w:rsid w:val="002335AA"/>
    <w:rsid w:val="00234B72"/>
    <w:rsid w:val="002354D1"/>
    <w:rsid w:val="002372D6"/>
    <w:rsid w:val="0023734F"/>
    <w:rsid w:val="00237EFA"/>
    <w:rsid w:val="00240044"/>
    <w:rsid w:val="002410DC"/>
    <w:rsid w:val="00241F5D"/>
    <w:rsid w:val="002424A2"/>
    <w:rsid w:val="00242877"/>
    <w:rsid w:val="00245719"/>
    <w:rsid w:val="0025395C"/>
    <w:rsid w:val="002612DF"/>
    <w:rsid w:val="00261BF4"/>
    <w:rsid w:val="0026682D"/>
    <w:rsid w:val="00271B74"/>
    <w:rsid w:val="0027246A"/>
    <w:rsid w:val="002742DD"/>
    <w:rsid w:val="00276803"/>
    <w:rsid w:val="002771C0"/>
    <w:rsid w:val="0027731E"/>
    <w:rsid w:val="002816B5"/>
    <w:rsid w:val="00284076"/>
    <w:rsid w:val="002865DB"/>
    <w:rsid w:val="00290159"/>
    <w:rsid w:val="00295543"/>
    <w:rsid w:val="0029675A"/>
    <w:rsid w:val="002A50DE"/>
    <w:rsid w:val="002A51BC"/>
    <w:rsid w:val="002B092E"/>
    <w:rsid w:val="002B12A5"/>
    <w:rsid w:val="002B14F0"/>
    <w:rsid w:val="002B1AB6"/>
    <w:rsid w:val="002B4984"/>
    <w:rsid w:val="002B500A"/>
    <w:rsid w:val="002B69F1"/>
    <w:rsid w:val="002B71F1"/>
    <w:rsid w:val="002C75EB"/>
    <w:rsid w:val="002C7B59"/>
    <w:rsid w:val="002D1E14"/>
    <w:rsid w:val="002D21A2"/>
    <w:rsid w:val="002D3B37"/>
    <w:rsid w:val="002D623B"/>
    <w:rsid w:val="002D65BA"/>
    <w:rsid w:val="002D6B8D"/>
    <w:rsid w:val="002D7A98"/>
    <w:rsid w:val="002E3F4B"/>
    <w:rsid w:val="002E7140"/>
    <w:rsid w:val="002F3A6D"/>
    <w:rsid w:val="002F3BEB"/>
    <w:rsid w:val="002F76CD"/>
    <w:rsid w:val="00300894"/>
    <w:rsid w:val="003033E9"/>
    <w:rsid w:val="00306B49"/>
    <w:rsid w:val="00307BDC"/>
    <w:rsid w:val="00311ECC"/>
    <w:rsid w:val="00313225"/>
    <w:rsid w:val="00320D12"/>
    <w:rsid w:val="00326544"/>
    <w:rsid w:val="00327BAB"/>
    <w:rsid w:val="0033527C"/>
    <w:rsid w:val="00337E35"/>
    <w:rsid w:val="0034135C"/>
    <w:rsid w:val="00346215"/>
    <w:rsid w:val="00351131"/>
    <w:rsid w:val="00352291"/>
    <w:rsid w:val="00354B9C"/>
    <w:rsid w:val="00356973"/>
    <w:rsid w:val="00356D43"/>
    <w:rsid w:val="003614F3"/>
    <w:rsid w:val="003616E1"/>
    <w:rsid w:val="00363141"/>
    <w:rsid w:val="00364591"/>
    <w:rsid w:val="00364690"/>
    <w:rsid w:val="00365CAB"/>
    <w:rsid w:val="00370CDD"/>
    <w:rsid w:val="00373FFC"/>
    <w:rsid w:val="00375C53"/>
    <w:rsid w:val="00381C99"/>
    <w:rsid w:val="00384232"/>
    <w:rsid w:val="0038436F"/>
    <w:rsid w:val="003914FD"/>
    <w:rsid w:val="0039397B"/>
    <w:rsid w:val="003951D5"/>
    <w:rsid w:val="003971E5"/>
    <w:rsid w:val="00397CC2"/>
    <w:rsid w:val="003A1AD3"/>
    <w:rsid w:val="003A47AE"/>
    <w:rsid w:val="003A4BF6"/>
    <w:rsid w:val="003B039F"/>
    <w:rsid w:val="003B1946"/>
    <w:rsid w:val="003B19C0"/>
    <w:rsid w:val="003B2301"/>
    <w:rsid w:val="003B24F6"/>
    <w:rsid w:val="003B35D2"/>
    <w:rsid w:val="003B47C3"/>
    <w:rsid w:val="003B7B7C"/>
    <w:rsid w:val="003C1BED"/>
    <w:rsid w:val="003C1F3C"/>
    <w:rsid w:val="003C38E5"/>
    <w:rsid w:val="003C79E8"/>
    <w:rsid w:val="003C7E3F"/>
    <w:rsid w:val="003D1AA6"/>
    <w:rsid w:val="003D2430"/>
    <w:rsid w:val="003D28CD"/>
    <w:rsid w:val="003D3484"/>
    <w:rsid w:val="003D35C5"/>
    <w:rsid w:val="003D3751"/>
    <w:rsid w:val="003D4D9A"/>
    <w:rsid w:val="003D672D"/>
    <w:rsid w:val="003D7841"/>
    <w:rsid w:val="003E1B53"/>
    <w:rsid w:val="003E1E4D"/>
    <w:rsid w:val="003E22B0"/>
    <w:rsid w:val="003E52C7"/>
    <w:rsid w:val="003E5694"/>
    <w:rsid w:val="003F07F0"/>
    <w:rsid w:val="003F0FD0"/>
    <w:rsid w:val="003F291F"/>
    <w:rsid w:val="003F3585"/>
    <w:rsid w:val="003F4035"/>
    <w:rsid w:val="003F4B7A"/>
    <w:rsid w:val="003F5FF3"/>
    <w:rsid w:val="003F6898"/>
    <w:rsid w:val="003F76D5"/>
    <w:rsid w:val="00401F67"/>
    <w:rsid w:val="00405118"/>
    <w:rsid w:val="00410980"/>
    <w:rsid w:val="00410C40"/>
    <w:rsid w:val="00415E1F"/>
    <w:rsid w:val="004167EC"/>
    <w:rsid w:val="00416934"/>
    <w:rsid w:val="00420FBC"/>
    <w:rsid w:val="00423535"/>
    <w:rsid w:val="00423632"/>
    <w:rsid w:val="00425644"/>
    <w:rsid w:val="0042581A"/>
    <w:rsid w:val="00426642"/>
    <w:rsid w:val="0042685E"/>
    <w:rsid w:val="00430A9A"/>
    <w:rsid w:val="0043216D"/>
    <w:rsid w:val="00437321"/>
    <w:rsid w:val="00440627"/>
    <w:rsid w:val="00441464"/>
    <w:rsid w:val="00442062"/>
    <w:rsid w:val="00443A54"/>
    <w:rsid w:val="004558A6"/>
    <w:rsid w:val="004625ED"/>
    <w:rsid w:val="00464F97"/>
    <w:rsid w:val="00473D3F"/>
    <w:rsid w:val="00474066"/>
    <w:rsid w:val="00475B43"/>
    <w:rsid w:val="0048043E"/>
    <w:rsid w:val="00480D69"/>
    <w:rsid w:val="004873BB"/>
    <w:rsid w:val="0049115A"/>
    <w:rsid w:val="00497E74"/>
    <w:rsid w:val="004B166F"/>
    <w:rsid w:val="004B1BCF"/>
    <w:rsid w:val="004B29CF"/>
    <w:rsid w:val="004B7CF2"/>
    <w:rsid w:val="004C413F"/>
    <w:rsid w:val="004E432E"/>
    <w:rsid w:val="004E5843"/>
    <w:rsid w:val="004F215C"/>
    <w:rsid w:val="00500C37"/>
    <w:rsid w:val="0050357C"/>
    <w:rsid w:val="005044B5"/>
    <w:rsid w:val="00507FD0"/>
    <w:rsid w:val="00512CA2"/>
    <w:rsid w:val="0051594B"/>
    <w:rsid w:val="00517FDC"/>
    <w:rsid w:val="00521497"/>
    <w:rsid w:val="00526730"/>
    <w:rsid w:val="00527C9B"/>
    <w:rsid w:val="00530E4A"/>
    <w:rsid w:val="00531390"/>
    <w:rsid w:val="005327EA"/>
    <w:rsid w:val="00537C6A"/>
    <w:rsid w:val="00540E2A"/>
    <w:rsid w:val="00542AE2"/>
    <w:rsid w:val="00542FAC"/>
    <w:rsid w:val="0054331E"/>
    <w:rsid w:val="00544AED"/>
    <w:rsid w:val="00546129"/>
    <w:rsid w:val="00553A13"/>
    <w:rsid w:val="00555013"/>
    <w:rsid w:val="00563333"/>
    <w:rsid w:val="00563FC3"/>
    <w:rsid w:val="0056409A"/>
    <w:rsid w:val="00566DB5"/>
    <w:rsid w:val="00570A3C"/>
    <w:rsid w:val="005712D5"/>
    <w:rsid w:val="00574BA4"/>
    <w:rsid w:val="005841C9"/>
    <w:rsid w:val="00585590"/>
    <w:rsid w:val="00586AB7"/>
    <w:rsid w:val="0058727E"/>
    <w:rsid w:val="00587375"/>
    <w:rsid w:val="00590F17"/>
    <w:rsid w:val="0059524D"/>
    <w:rsid w:val="005958ED"/>
    <w:rsid w:val="00596C1F"/>
    <w:rsid w:val="00597358"/>
    <w:rsid w:val="00597FAA"/>
    <w:rsid w:val="00597FF4"/>
    <w:rsid w:val="005A079B"/>
    <w:rsid w:val="005A0DC8"/>
    <w:rsid w:val="005A13B0"/>
    <w:rsid w:val="005A6BEA"/>
    <w:rsid w:val="005A70A7"/>
    <w:rsid w:val="005A782C"/>
    <w:rsid w:val="005A7A5E"/>
    <w:rsid w:val="005B0C4B"/>
    <w:rsid w:val="005B1CAC"/>
    <w:rsid w:val="005C3E50"/>
    <w:rsid w:val="005C5959"/>
    <w:rsid w:val="005C7913"/>
    <w:rsid w:val="005D2A9D"/>
    <w:rsid w:val="005E2FA3"/>
    <w:rsid w:val="005E3392"/>
    <w:rsid w:val="005E5350"/>
    <w:rsid w:val="005F3283"/>
    <w:rsid w:val="005F5FDA"/>
    <w:rsid w:val="005F6E69"/>
    <w:rsid w:val="00601840"/>
    <w:rsid w:val="00601CFD"/>
    <w:rsid w:val="006077B6"/>
    <w:rsid w:val="00607B9D"/>
    <w:rsid w:val="006113E8"/>
    <w:rsid w:val="00614BCA"/>
    <w:rsid w:val="006164AB"/>
    <w:rsid w:val="00617F57"/>
    <w:rsid w:val="006228F1"/>
    <w:rsid w:val="00630808"/>
    <w:rsid w:val="00631A5D"/>
    <w:rsid w:val="00633DBC"/>
    <w:rsid w:val="0064100F"/>
    <w:rsid w:val="00641DB1"/>
    <w:rsid w:val="00642750"/>
    <w:rsid w:val="0064750C"/>
    <w:rsid w:val="00647B42"/>
    <w:rsid w:val="00655317"/>
    <w:rsid w:val="00660ADD"/>
    <w:rsid w:val="00660B13"/>
    <w:rsid w:val="00670AA4"/>
    <w:rsid w:val="00674A43"/>
    <w:rsid w:val="00674DBF"/>
    <w:rsid w:val="00675E83"/>
    <w:rsid w:val="006771CB"/>
    <w:rsid w:val="00677EAB"/>
    <w:rsid w:val="00682C85"/>
    <w:rsid w:val="00682F84"/>
    <w:rsid w:val="00686D59"/>
    <w:rsid w:val="00690E22"/>
    <w:rsid w:val="00691892"/>
    <w:rsid w:val="006920B8"/>
    <w:rsid w:val="00693D9E"/>
    <w:rsid w:val="006A4C58"/>
    <w:rsid w:val="006A4CFD"/>
    <w:rsid w:val="006A662C"/>
    <w:rsid w:val="006B08FF"/>
    <w:rsid w:val="006B2965"/>
    <w:rsid w:val="006B50E7"/>
    <w:rsid w:val="006B709A"/>
    <w:rsid w:val="006C2A58"/>
    <w:rsid w:val="006C70C6"/>
    <w:rsid w:val="006D010A"/>
    <w:rsid w:val="006D3C02"/>
    <w:rsid w:val="006D3EAE"/>
    <w:rsid w:val="006D4FF0"/>
    <w:rsid w:val="006D5A86"/>
    <w:rsid w:val="006D766B"/>
    <w:rsid w:val="006E1606"/>
    <w:rsid w:val="006E19A6"/>
    <w:rsid w:val="006E1E16"/>
    <w:rsid w:val="006E57F4"/>
    <w:rsid w:val="006E60E2"/>
    <w:rsid w:val="006F0119"/>
    <w:rsid w:val="006F1026"/>
    <w:rsid w:val="006F246F"/>
    <w:rsid w:val="0070266E"/>
    <w:rsid w:val="0070795C"/>
    <w:rsid w:val="00712163"/>
    <w:rsid w:val="00712269"/>
    <w:rsid w:val="007146DC"/>
    <w:rsid w:val="0071750E"/>
    <w:rsid w:val="00717645"/>
    <w:rsid w:val="0072258B"/>
    <w:rsid w:val="00722B58"/>
    <w:rsid w:val="00725E75"/>
    <w:rsid w:val="007261BF"/>
    <w:rsid w:val="007328EF"/>
    <w:rsid w:val="00734A0E"/>
    <w:rsid w:val="007350B7"/>
    <w:rsid w:val="00736803"/>
    <w:rsid w:val="00736812"/>
    <w:rsid w:val="007402DF"/>
    <w:rsid w:val="00744898"/>
    <w:rsid w:val="007451BD"/>
    <w:rsid w:val="007458EC"/>
    <w:rsid w:val="00746CB4"/>
    <w:rsid w:val="00750EC2"/>
    <w:rsid w:val="0075274A"/>
    <w:rsid w:val="00753037"/>
    <w:rsid w:val="007542DF"/>
    <w:rsid w:val="00755801"/>
    <w:rsid w:val="00760636"/>
    <w:rsid w:val="00760F80"/>
    <w:rsid w:val="007669BB"/>
    <w:rsid w:val="00767EB4"/>
    <w:rsid w:val="0077096E"/>
    <w:rsid w:val="00772480"/>
    <w:rsid w:val="00772CD8"/>
    <w:rsid w:val="007731AD"/>
    <w:rsid w:val="007735A5"/>
    <w:rsid w:val="00774224"/>
    <w:rsid w:val="00775163"/>
    <w:rsid w:val="00780A75"/>
    <w:rsid w:val="00784C2F"/>
    <w:rsid w:val="00784EE0"/>
    <w:rsid w:val="00793F1F"/>
    <w:rsid w:val="00794EFD"/>
    <w:rsid w:val="00797827"/>
    <w:rsid w:val="00797BEA"/>
    <w:rsid w:val="007A19F1"/>
    <w:rsid w:val="007A32D9"/>
    <w:rsid w:val="007A5147"/>
    <w:rsid w:val="007A5248"/>
    <w:rsid w:val="007A696B"/>
    <w:rsid w:val="007A6C11"/>
    <w:rsid w:val="007A7375"/>
    <w:rsid w:val="007A7C3D"/>
    <w:rsid w:val="007B0A8B"/>
    <w:rsid w:val="007B3C68"/>
    <w:rsid w:val="007B4991"/>
    <w:rsid w:val="007B676C"/>
    <w:rsid w:val="007B7E30"/>
    <w:rsid w:val="007C27A6"/>
    <w:rsid w:val="007C2F24"/>
    <w:rsid w:val="007C3A84"/>
    <w:rsid w:val="007C4A77"/>
    <w:rsid w:val="007C4BAB"/>
    <w:rsid w:val="007C4CE6"/>
    <w:rsid w:val="007C5C62"/>
    <w:rsid w:val="007C6EEF"/>
    <w:rsid w:val="007D26DA"/>
    <w:rsid w:val="007D2A37"/>
    <w:rsid w:val="007D5193"/>
    <w:rsid w:val="007D5C51"/>
    <w:rsid w:val="007E1E83"/>
    <w:rsid w:val="007E565A"/>
    <w:rsid w:val="007F0682"/>
    <w:rsid w:val="007F3786"/>
    <w:rsid w:val="007F3E77"/>
    <w:rsid w:val="007F43EA"/>
    <w:rsid w:val="007F65CF"/>
    <w:rsid w:val="00801365"/>
    <w:rsid w:val="00804910"/>
    <w:rsid w:val="0080492B"/>
    <w:rsid w:val="008162DF"/>
    <w:rsid w:val="008165A6"/>
    <w:rsid w:val="00816AF9"/>
    <w:rsid w:val="0082466C"/>
    <w:rsid w:val="008272C4"/>
    <w:rsid w:val="00830FA9"/>
    <w:rsid w:val="008311A0"/>
    <w:rsid w:val="00833113"/>
    <w:rsid w:val="00833E2E"/>
    <w:rsid w:val="008340AB"/>
    <w:rsid w:val="00834D3F"/>
    <w:rsid w:val="008408C0"/>
    <w:rsid w:val="00840C21"/>
    <w:rsid w:val="008432A0"/>
    <w:rsid w:val="008446F0"/>
    <w:rsid w:val="00845ED4"/>
    <w:rsid w:val="00855505"/>
    <w:rsid w:val="00857AF8"/>
    <w:rsid w:val="008605DB"/>
    <w:rsid w:val="00861465"/>
    <w:rsid w:val="008659EF"/>
    <w:rsid w:val="0086720F"/>
    <w:rsid w:val="008679C3"/>
    <w:rsid w:val="008727A0"/>
    <w:rsid w:val="00874EF6"/>
    <w:rsid w:val="0087612C"/>
    <w:rsid w:val="00876B25"/>
    <w:rsid w:val="00876E6B"/>
    <w:rsid w:val="0087772D"/>
    <w:rsid w:val="00880F40"/>
    <w:rsid w:val="00881CFA"/>
    <w:rsid w:val="00882C1B"/>
    <w:rsid w:val="00885192"/>
    <w:rsid w:val="00885252"/>
    <w:rsid w:val="00886292"/>
    <w:rsid w:val="008869E9"/>
    <w:rsid w:val="00890DFB"/>
    <w:rsid w:val="00893B9B"/>
    <w:rsid w:val="008967BE"/>
    <w:rsid w:val="008A0914"/>
    <w:rsid w:val="008A2EF7"/>
    <w:rsid w:val="008A366C"/>
    <w:rsid w:val="008A3940"/>
    <w:rsid w:val="008A3A9E"/>
    <w:rsid w:val="008A5562"/>
    <w:rsid w:val="008B40E3"/>
    <w:rsid w:val="008B4A0B"/>
    <w:rsid w:val="008B7CF4"/>
    <w:rsid w:val="008C3DA1"/>
    <w:rsid w:val="008C651B"/>
    <w:rsid w:val="008E08C9"/>
    <w:rsid w:val="008E1896"/>
    <w:rsid w:val="008E3C9D"/>
    <w:rsid w:val="008E4F54"/>
    <w:rsid w:val="008E759E"/>
    <w:rsid w:val="008F3896"/>
    <w:rsid w:val="008F3CBA"/>
    <w:rsid w:val="008F485C"/>
    <w:rsid w:val="0090135F"/>
    <w:rsid w:val="00901BD3"/>
    <w:rsid w:val="00905677"/>
    <w:rsid w:val="0091373B"/>
    <w:rsid w:val="009139AC"/>
    <w:rsid w:val="0091400A"/>
    <w:rsid w:val="00915DD4"/>
    <w:rsid w:val="00916A38"/>
    <w:rsid w:val="009208AE"/>
    <w:rsid w:val="00921119"/>
    <w:rsid w:val="00921767"/>
    <w:rsid w:val="00921A29"/>
    <w:rsid w:val="00922D9F"/>
    <w:rsid w:val="00922EC6"/>
    <w:rsid w:val="00924766"/>
    <w:rsid w:val="00927C50"/>
    <w:rsid w:val="009346D8"/>
    <w:rsid w:val="0093564D"/>
    <w:rsid w:val="00940746"/>
    <w:rsid w:val="0094323A"/>
    <w:rsid w:val="00943C22"/>
    <w:rsid w:val="00946A25"/>
    <w:rsid w:val="00946FD5"/>
    <w:rsid w:val="0095274B"/>
    <w:rsid w:val="009534C7"/>
    <w:rsid w:val="00954345"/>
    <w:rsid w:val="00955E12"/>
    <w:rsid w:val="00956F0B"/>
    <w:rsid w:val="00960175"/>
    <w:rsid w:val="00960417"/>
    <w:rsid w:val="00963EB1"/>
    <w:rsid w:val="00970DD1"/>
    <w:rsid w:val="00972EE7"/>
    <w:rsid w:val="0097401C"/>
    <w:rsid w:val="0097557E"/>
    <w:rsid w:val="00977989"/>
    <w:rsid w:val="00982B6D"/>
    <w:rsid w:val="00982FB5"/>
    <w:rsid w:val="00986F1D"/>
    <w:rsid w:val="00992D48"/>
    <w:rsid w:val="00994A98"/>
    <w:rsid w:val="009B14A4"/>
    <w:rsid w:val="009B2FA3"/>
    <w:rsid w:val="009B4263"/>
    <w:rsid w:val="009B7B34"/>
    <w:rsid w:val="009D3207"/>
    <w:rsid w:val="009D37DC"/>
    <w:rsid w:val="009D6F45"/>
    <w:rsid w:val="009D7319"/>
    <w:rsid w:val="009D7C73"/>
    <w:rsid w:val="009E6D2B"/>
    <w:rsid w:val="009F12BA"/>
    <w:rsid w:val="009F2192"/>
    <w:rsid w:val="00A013A2"/>
    <w:rsid w:val="00A01508"/>
    <w:rsid w:val="00A0216A"/>
    <w:rsid w:val="00A02C04"/>
    <w:rsid w:val="00A10DCA"/>
    <w:rsid w:val="00A1366E"/>
    <w:rsid w:val="00A13886"/>
    <w:rsid w:val="00A163FA"/>
    <w:rsid w:val="00A20B8C"/>
    <w:rsid w:val="00A23467"/>
    <w:rsid w:val="00A26D2B"/>
    <w:rsid w:val="00A27DBF"/>
    <w:rsid w:val="00A32E98"/>
    <w:rsid w:val="00A330C7"/>
    <w:rsid w:val="00A33218"/>
    <w:rsid w:val="00A40604"/>
    <w:rsid w:val="00A42001"/>
    <w:rsid w:val="00A45FD7"/>
    <w:rsid w:val="00A52394"/>
    <w:rsid w:val="00A52BDA"/>
    <w:rsid w:val="00A61F2D"/>
    <w:rsid w:val="00A63BA8"/>
    <w:rsid w:val="00A6611A"/>
    <w:rsid w:val="00A67A4A"/>
    <w:rsid w:val="00A71351"/>
    <w:rsid w:val="00A74867"/>
    <w:rsid w:val="00A74F72"/>
    <w:rsid w:val="00A75D2D"/>
    <w:rsid w:val="00A80808"/>
    <w:rsid w:val="00A9030C"/>
    <w:rsid w:val="00A920CF"/>
    <w:rsid w:val="00AA0A27"/>
    <w:rsid w:val="00AA2AAF"/>
    <w:rsid w:val="00AA65B8"/>
    <w:rsid w:val="00AB25F5"/>
    <w:rsid w:val="00AB57E3"/>
    <w:rsid w:val="00AB6911"/>
    <w:rsid w:val="00AB7A88"/>
    <w:rsid w:val="00AC11CC"/>
    <w:rsid w:val="00AC2259"/>
    <w:rsid w:val="00AD13D9"/>
    <w:rsid w:val="00AD6641"/>
    <w:rsid w:val="00AE0072"/>
    <w:rsid w:val="00AE1D4D"/>
    <w:rsid w:val="00AE3553"/>
    <w:rsid w:val="00AE6329"/>
    <w:rsid w:val="00AF1132"/>
    <w:rsid w:val="00AF4EE2"/>
    <w:rsid w:val="00AF5658"/>
    <w:rsid w:val="00AF5788"/>
    <w:rsid w:val="00B0525B"/>
    <w:rsid w:val="00B057FB"/>
    <w:rsid w:val="00B071EF"/>
    <w:rsid w:val="00B11A2E"/>
    <w:rsid w:val="00B1308A"/>
    <w:rsid w:val="00B13127"/>
    <w:rsid w:val="00B139B0"/>
    <w:rsid w:val="00B14E6B"/>
    <w:rsid w:val="00B21D39"/>
    <w:rsid w:val="00B222E4"/>
    <w:rsid w:val="00B23D54"/>
    <w:rsid w:val="00B240F0"/>
    <w:rsid w:val="00B24182"/>
    <w:rsid w:val="00B261A2"/>
    <w:rsid w:val="00B30A94"/>
    <w:rsid w:val="00B31D6E"/>
    <w:rsid w:val="00B32231"/>
    <w:rsid w:val="00B336EF"/>
    <w:rsid w:val="00B35120"/>
    <w:rsid w:val="00B35292"/>
    <w:rsid w:val="00B3760E"/>
    <w:rsid w:val="00B37863"/>
    <w:rsid w:val="00B42A4E"/>
    <w:rsid w:val="00B4467C"/>
    <w:rsid w:val="00B46B88"/>
    <w:rsid w:val="00B46E42"/>
    <w:rsid w:val="00B53548"/>
    <w:rsid w:val="00B53EB4"/>
    <w:rsid w:val="00B55F4C"/>
    <w:rsid w:val="00B57D28"/>
    <w:rsid w:val="00B6366C"/>
    <w:rsid w:val="00B63924"/>
    <w:rsid w:val="00B64DFB"/>
    <w:rsid w:val="00B70942"/>
    <w:rsid w:val="00B7108F"/>
    <w:rsid w:val="00B717AB"/>
    <w:rsid w:val="00B7391F"/>
    <w:rsid w:val="00B747E5"/>
    <w:rsid w:val="00B76305"/>
    <w:rsid w:val="00B77ADD"/>
    <w:rsid w:val="00B80889"/>
    <w:rsid w:val="00B83A47"/>
    <w:rsid w:val="00B8609B"/>
    <w:rsid w:val="00B92807"/>
    <w:rsid w:val="00B9316E"/>
    <w:rsid w:val="00B94217"/>
    <w:rsid w:val="00BA24A7"/>
    <w:rsid w:val="00BA32C5"/>
    <w:rsid w:val="00BA7790"/>
    <w:rsid w:val="00BA7B35"/>
    <w:rsid w:val="00BB0743"/>
    <w:rsid w:val="00BB6EF2"/>
    <w:rsid w:val="00BC053A"/>
    <w:rsid w:val="00BC2C1B"/>
    <w:rsid w:val="00BC37AD"/>
    <w:rsid w:val="00BC6F68"/>
    <w:rsid w:val="00BD0957"/>
    <w:rsid w:val="00BD0AD0"/>
    <w:rsid w:val="00BD2120"/>
    <w:rsid w:val="00BD5108"/>
    <w:rsid w:val="00BD551D"/>
    <w:rsid w:val="00BD6B61"/>
    <w:rsid w:val="00BD7C31"/>
    <w:rsid w:val="00BE0162"/>
    <w:rsid w:val="00BE3870"/>
    <w:rsid w:val="00BE42EF"/>
    <w:rsid w:val="00BE482A"/>
    <w:rsid w:val="00BF0CF3"/>
    <w:rsid w:val="00BF2186"/>
    <w:rsid w:val="00BF4C5D"/>
    <w:rsid w:val="00BF6DA1"/>
    <w:rsid w:val="00BF7882"/>
    <w:rsid w:val="00C00F70"/>
    <w:rsid w:val="00C01050"/>
    <w:rsid w:val="00C04311"/>
    <w:rsid w:val="00C05F8F"/>
    <w:rsid w:val="00C108EE"/>
    <w:rsid w:val="00C113A8"/>
    <w:rsid w:val="00C17A76"/>
    <w:rsid w:val="00C211B1"/>
    <w:rsid w:val="00C23587"/>
    <w:rsid w:val="00C27474"/>
    <w:rsid w:val="00C27A4D"/>
    <w:rsid w:val="00C27D3C"/>
    <w:rsid w:val="00C3076F"/>
    <w:rsid w:val="00C3248D"/>
    <w:rsid w:val="00C372C2"/>
    <w:rsid w:val="00C421E7"/>
    <w:rsid w:val="00C44477"/>
    <w:rsid w:val="00C44E63"/>
    <w:rsid w:val="00C5115C"/>
    <w:rsid w:val="00C511B8"/>
    <w:rsid w:val="00C515D1"/>
    <w:rsid w:val="00C54E35"/>
    <w:rsid w:val="00C551CD"/>
    <w:rsid w:val="00C5704B"/>
    <w:rsid w:val="00C6179E"/>
    <w:rsid w:val="00C679E0"/>
    <w:rsid w:val="00C75F5C"/>
    <w:rsid w:val="00C76C75"/>
    <w:rsid w:val="00C77B67"/>
    <w:rsid w:val="00C80CF8"/>
    <w:rsid w:val="00C82E0C"/>
    <w:rsid w:val="00C8392D"/>
    <w:rsid w:val="00C840C9"/>
    <w:rsid w:val="00C84F67"/>
    <w:rsid w:val="00C8716D"/>
    <w:rsid w:val="00C924C0"/>
    <w:rsid w:val="00C9533C"/>
    <w:rsid w:val="00C96053"/>
    <w:rsid w:val="00C97251"/>
    <w:rsid w:val="00CA1140"/>
    <w:rsid w:val="00CA2492"/>
    <w:rsid w:val="00CA4CD5"/>
    <w:rsid w:val="00CA673B"/>
    <w:rsid w:val="00CB227C"/>
    <w:rsid w:val="00CC1050"/>
    <w:rsid w:val="00CC1A2E"/>
    <w:rsid w:val="00CC2F24"/>
    <w:rsid w:val="00CC3A9C"/>
    <w:rsid w:val="00CC3ABE"/>
    <w:rsid w:val="00CC54BF"/>
    <w:rsid w:val="00CC573A"/>
    <w:rsid w:val="00CD0026"/>
    <w:rsid w:val="00CD026F"/>
    <w:rsid w:val="00CD0789"/>
    <w:rsid w:val="00CD2024"/>
    <w:rsid w:val="00CD316C"/>
    <w:rsid w:val="00CE05EF"/>
    <w:rsid w:val="00CE1ACF"/>
    <w:rsid w:val="00CE4AC0"/>
    <w:rsid w:val="00CE65CC"/>
    <w:rsid w:val="00CF0CCF"/>
    <w:rsid w:val="00CF1418"/>
    <w:rsid w:val="00D035AF"/>
    <w:rsid w:val="00D04302"/>
    <w:rsid w:val="00D10C52"/>
    <w:rsid w:val="00D10DFD"/>
    <w:rsid w:val="00D10E56"/>
    <w:rsid w:val="00D10F9B"/>
    <w:rsid w:val="00D14340"/>
    <w:rsid w:val="00D149DB"/>
    <w:rsid w:val="00D15DE1"/>
    <w:rsid w:val="00D2079A"/>
    <w:rsid w:val="00D21942"/>
    <w:rsid w:val="00D23B5B"/>
    <w:rsid w:val="00D261B1"/>
    <w:rsid w:val="00D314C4"/>
    <w:rsid w:val="00D3296E"/>
    <w:rsid w:val="00D346CE"/>
    <w:rsid w:val="00D34E66"/>
    <w:rsid w:val="00D3575D"/>
    <w:rsid w:val="00D371C3"/>
    <w:rsid w:val="00D40F29"/>
    <w:rsid w:val="00D445F4"/>
    <w:rsid w:val="00D44818"/>
    <w:rsid w:val="00D45126"/>
    <w:rsid w:val="00D530CD"/>
    <w:rsid w:val="00D54375"/>
    <w:rsid w:val="00D60290"/>
    <w:rsid w:val="00D618BE"/>
    <w:rsid w:val="00D6682C"/>
    <w:rsid w:val="00D66E20"/>
    <w:rsid w:val="00D73DF7"/>
    <w:rsid w:val="00D73F98"/>
    <w:rsid w:val="00D77175"/>
    <w:rsid w:val="00D8647B"/>
    <w:rsid w:val="00D903A1"/>
    <w:rsid w:val="00D91ECD"/>
    <w:rsid w:val="00DA1290"/>
    <w:rsid w:val="00DA2DFA"/>
    <w:rsid w:val="00DA4065"/>
    <w:rsid w:val="00DA4DEF"/>
    <w:rsid w:val="00DA4EB7"/>
    <w:rsid w:val="00DA65EC"/>
    <w:rsid w:val="00DB0739"/>
    <w:rsid w:val="00DB22D5"/>
    <w:rsid w:val="00DB3AB9"/>
    <w:rsid w:val="00DB3F65"/>
    <w:rsid w:val="00DB7165"/>
    <w:rsid w:val="00DC288F"/>
    <w:rsid w:val="00DC3534"/>
    <w:rsid w:val="00DD225C"/>
    <w:rsid w:val="00DD3749"/>
    <w:rsid w:val="00DD670C"/>
    <w:rsid w:val="00DD7EEA"/>
    <w:rsid w:val="00DE0258"/>
    <w:rsid w:val="00DE288F"/>
    <w:rsid w:val="00DE2ABF"/>
    <w:rsid w:val="00DE47D3"/>
    <w:rsid w:val="00DE6351"/>
    <w:rsid w:val="00DF27CD"/>
    <w:rsid w:val="00DF38D3"/>
    <w:rsid w:val="00DF6253"/>
    <w:rsid w:val="00E00F52"/>
    <w:rsid w:val="00E03E07"/>
    <w:rsid w:val="00E0447C"/>
    <w:rsid w:val="00E065A0"/>
    <w:rsid w:val="00E13F16"/>
    <w:rsid w:val="00E1424A"/>
    <w:rsid w:val="00E165B7"/>
    <w:rsid w:val="00E25B12"/>
    <w:rsid w:val="00E27EC4"/>
    <w:rsid w:val="00E33123"/>
    <w:rsid w:val="00E335EF"/>
    <w:rsid w:val="00E35BF8"/>
    <w:rsid w:val="00E3794C"/>
    <w:rsid w:val="00E37C29"/>
    <w:rsid w:val="00E404B9"/>
    <w:rsid w:val="00E44610"/>
    <w:rsid w:val="00E44BAF"/>
    <w:rsid w:val="00E4656F"/>
    <w:rsid w:val="00E52DEC"/>
    <w:rsid w:val="00E52EE9"/>
    <w:rsid w:val="00E54645"/>
    <w:rsid w:val="00E5767B"/>
    <w:rsid w:val="00E57750"/>
    <w:rsid w:val="00E60A33"/>
    <w:rsid w:val="00E62349"/>
    <w:rsid w:val="00E63DCE"/>
    <w:rsid w:val="00E6430F"/>
    <w:rsid w:val="00E64E21"/>
    <w:rsid w:val="00E650DF"/>
    <w:rsid w:val="00E654CA"/>
    <w:rsid w:val="00E70704"/>
    <w:rsid w:val="00E72298"/>
    <w:rsid w:val="00E72C19"/>
    <w:rsid w:val="00E75977"/>
    <w:rsid w:val="00E77383"/>
    <w:rsid w:val="00E774BB"/>
    <w:rsid w:val="00E8135D"/>
    <w:rsid w:val="00E81D1F"/>
    <w:rsid w:val="00E84ABA"/>
    <w:rsid w:val="00E861D5"/>
    <w:rsid w:val="00E8767D"/>
    <w:rsid w:val="00E903F5"/>
    <w:rsid w:val="00E9084A"/>
    <w:rsid w:val="00E92A51"/>
    <w:rsid w:val="00E95220"/>
    <w:rsid w:val="00EA03C2"/>
    <w:rsid w:val="00EA581E"/>
    <w:rsid w:val="00EA62BA"/>
    <w:rsid w:val="00EA6E0D"/>
    <w:rsid w:val="00EA7F65"/>
    <w:rsid w:val="00EA7F66"/>
    <w:rsid w:val="00EB205D"/>
    <w:rsid w:val="00EB3073"/>
    <w:rsid w:val="00EB4309"/>
    <w:rsid w:val="00EC27C5"/>
    <w:rsid w:val="00EC3C63"/>
    <w:rsid w:val="00EC5826"/>
    <w:rsid w:val="00EC7EA7"/>
    <w:rsid w:val="00ED00C7"/>
    <w:rsid w:val="00ED46AB"/>
    <w:rsid w:val="00EE0715"/>
    <w:rsid w:val="00EE239F"/>
    <w:rsid w:val="00EE5714"/>
    <w:rsid w:val="00EE597B"/>
    <w:rsid w:val="00EF263D"/>
    <w:rsid w:val="00EF35A7"/>
    <w:rsid w:val="00EF3D21"/>
    <w:rsid w:val="00EF3D9D"/>
    <w:rsid w:val="00EF585E"/>
    <w:rsid w:val="00EF6595"/>
    <w:rsid w:val="00EF71CB"/>
    <w:rsid w:val="00F01E74"/>
    <w:rsid w:val="00F05A5D"/>
    <w:rsid w:val="00F10631"/>
    <w:rsid w:val="00F106E6"/>
    <w:rsid w:val="00F117A1"/>
    <w:rsid w:val="00F17CBA"/>
    <w:rsid w:val="00F207D7"/>
    <w:rsid w:val="00F221F1"/>
    <w:rsid w:val="00F24956"/>
    <w:rsid w:val="00F32B27"/>
    <w:rsid w:val="00F3590D"/>
    <w:rsid w:val="00F35C43"/>
    <w:rsid w:val="00F36598"/>
    <w:rsid w:val="00F3767E"/>
    <w:rsid w:val="00F44FC5"/>
    <w:rsid w:val="00F45D25"/>
    <w:rsid w:val="00F50B27"/>
    <w:rsid w:val="00F5224C"/>
    <w:rsid w:val="00F60E79"/>
    <w:rsid w:val="00F6656D"/>
    <w:rsid w:val="00F70073"/>
    <w:rsid w:val="00F70409"/>
    <w:rsid w:val="00F7350C"/>
    <w:rsid w:val="00F74B68"/>
    <w:rsid w:val="00F773D5"/>
    <w:rsid w:val="00F82794"/>
    <w:rsid w:val="00F840C6"/>
    <w:rsid w:val="00F8643D"/>
    <w:rsid w:val="00F9148A"/>
    <w:rsid w:val="00F9304F"/>
    <w:rsid w:val="00F95D36"/>
    <w:rsid w:val="00F96F9A"/>
    <w:rsid w:val="00F97FD6"/>
    <w:rsid w:val="00FA3A34"/>
    <w:rsid w:val="00FA3BE2"/>
    <w:rsid w:val="00FB1270"/>
    <w:rsid w:val="00FB3168"/>
    <w:rsid w:val="00FB3170"/>
    <w:rsid w:val="00FB379C"/>
    <w:rsid w:val="00FB3829"/>
    <w:rsid w:val="00FC0144"/>
    <w:rsid w:val="00FC0AE0"/>
    <w:rsid w:val="00FC0B89"/>
    <w:rsid w:val="00FC1313"/>
    <w:rsid w:val="00FC1EAB"/>
    <w:rsid w:val="00FC35A7"/>
    <w:rsid w:val="00FC4341"/>
    <w:rsid w:val="00FD2C63"/>
    <w:rsid w:val="00FD3264"/>
    <w:rsid w:val="00FD7CF9"/>
    <w:rsid w:val="00FD7DC0"/>
    <w:rsid w:val="00FE0017"/>
    <w:rsid w:val="00FE2E35"/>
    <w:rsid w:val="00FE4ABE"/>
    <w:rsid w:val="00FE62F6"/>
    <w:rsid w:val="00FE69E5"/>
    <w:rsid w:val="00FE7AA6"/>
    <w:rsid w:val="00FF0DD3"/>
    <w:rsid w:val="00FF63D0"/>
    <w:rsid w:val="00FF7F72"/>
    <w:rsid w:val="02DF5F40"/>
    <w:rsid w:val="03320C05"/>
    <w:rsid w:val="053A14C0"/>
    <w:rsid w:val="05592FB3"/>
    <w:rsid w:val="05F6396B"/>
    <w:rsid w:val="0A3C660A"/>
    <w:rsid w:val="0E0D6737"/>
    <w:rsid w:val="0E7E40FB"/>
    <w:rsid w:val="12535FE2"/>
    <w:rsid w:val="13D83CF6"/>
    <w:rsid w:val="144679F0"/>
    <w:rsid w:val="15AF54A9"/>
    <w:rsid w:val="188D3440"/>
    <w:rsid w:val="19FD7012"/>
    <w:rsid w:val="1C4032FE"/>
    <w:rsid w:val="1CD31699"/>
    <w:rsid w:val="20D44015"/>
    <w:rsid w:val="20DF5FE9"/>
    <w:rsid w:val="217A2E0F"/>
    <w:rsid w:val="23075B32"/>
    <w:rsid w:val="23A93102"/>
    <w:rsid w:val="243C084F"/>
    <w:rsid w:val="25A54814"/>
    <w:rsid w:val="28B9597E"/>
    <w:rsid w:val="291665BF"/>
    <w:rsid w:val="29321057"/>
    <w:rsid w:val="2B547B40"/>
    <w:rsid w:val="30BB18AE"/>
    <w:rsid w:val="360E18FA"/>
    <w:rsid w:val="37682F77"/>
    <w:rsid w:val="37CE5FC3"/>
    <w:rsid w:val="3BD14FC4"/>
    <w:rsid w:val="3EC0134A"/>
    <w:rsid w:val="3ECC66C7"/>
    <w:rsid w:val="42EA799C"/>
    <w:rsid w:val="46F82A96"/>
    <w:rsid w:val="47221094"/>
    <w:rsid w:val="4A5852C9"/>
    <w:rsid w:val="4AFA1ED7"/>
    <w:rsid w:val="4E810F24"/>
    <w:rsid w:val="4F766D28"/>
    <w:rsid w:val="513D04E5"/>
    <w:rsid w:val="54782196"/>
    <w:rsid w:val="551E246C"/>
    <w:rsid w:val="55FD52A4"/>
    <w:rsid w:val="57210BD9"/>
    <w:rsid w:val="5B0A5B23"/>
    <w:rsid w:val="5E733F0B"/>
    <w:rsid w:val="60E356C2"/>
    <w:rsid w:val="62B32F7F"/>
    <w:rsid w:val="63F22B00"/>
    <w:rsid w:val="63FF7B94"/>
    <w:rsid w:val="64FD4EB5"/>
    <w:rsid w:val="67683194"/>
    <w:rsid w:val="6AA20549"/>
    <w:rsid w:val="6AEF699A"/>
    <w:rsid w:val="6B43270D"/>
    <w:rsid w:val="6C9E570A"/>
    <w:rsid w:val="6DFC657D"/>
    <w:rsid w:val="6F8C77CF"/>
    <w:rsid w:val="721C3D1C"/>
    <w:rsid w:val="74D53759"/>
    <w:rsid w:val="74D726C9"/>
    <w:rsid w:val="77034148"/>
    <w:rsid w:val="78F5103F"/>
    <w:rsid w:val="7913436A"/>
    <w:rsid w:val="7B4C246F"/>
    <w:rsid w:val="7B66299E"/>
    <w:rsid w:val="7B757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Date"/>
    <w:basedOn w:val="1"/>
    <w:next w:val="1"/>
    <w:link w:val="12"/>
    <w:qFormat/>
    <w:uiPriority w:val="0"/>
    <w:pPr>
      <w:ind w:left="100" w:leftChars="2500"/>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page number"/>
    <w:basedOn w:val="9"/>
    <w:qFormat/>
    <w:uiPriority w:val="0"/>
  </w:style>
  <w:style w:type="paragraph" w:customStyle="1" w:styleId="1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2">
    <w:name w:val="日期 Char"/>
    <w:basedOn w:val="9"/>
    <w:link w:val="3"/>
    <w:qFormat/>
    <w:uiPriority w:val="0"/>
    <w:rPr>
      <w:kern w:val="2"/>
      <w:sz w:val="21"/>
      <w:szCs w:val="24"/>
    </w:rPr>
  </w:style>
  <w:style w:type="paragraph" w:customStyle="1" w:styleId="13">
    <w:name w:val="段"/>
    <w:link w:val="1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
    <w:name w:val="段 Char"/>
    <w:basedOn w:val="9"/>
    <w:link w:val="13"/>
    <w:qFormat/>
    <w:uiPriority w:val="0"/>
    <w:rPr>
      <w:rFonts w:ascii="宋体"/>
      <w:sz w:val="21"/>
      <w:lang w:val="en-US" w:eastAsia="zh-CN" w:bidi="ar-SA"/>
    </w:rPr>
  </w:style>
  <w:style w:type="paragraph" w:customStyle="1" w:styleId="15">
    <w:name w:val="List Paragraph"/>
    <w:basedOn w:val="1"/>
    <w:qFormat/>
    <w:uiPriority w:val="34"/>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character" w:customStyle="1" w:styleId="17">
    <w:name w:val="font11"/>
    <w:basedOn w:val="9"/>
    <w:qFormat/>
    <w:uiPriority w:val="0"/>
    <w:rPr>
      <w:rFonts w:hint="eastAsia" w:ascii="宋体" w:hAnsi="宋体" w:eastAsia="宋体" w:cs="宋体"/>
      <w:color w:val="000000"/>
      <w:sz w:val="22"/>
      <w:szCs w:val="22"/>
      <w:u w:val="none"/>
    </w:rPr>
  </w:style>
  <w:style w:type="character" w:customStyle="1" w:styleId="18">
    <w:name w:val="font21"/>
    <w:basedOn w:val="9"/>
    <w:qFormat/>
    <w:uiPriority w:val="0"/>
    <w:rPr>
      <w:rFonts w:hint="default" w:ascii="Times New Roman" w:hAnsi="Times New Roman" w:cs="Times New Roman"/>
      <w:color w:val="000000"/>
      <w:sz w:val="22"/>
      <w:szCs w:val="22"/>
      <w:u w:val="none"/>
    </w:rPr>
  </w:style>
  <w:style w:type="character" w:customStyle="1" w:styleId="19">
    <w:name w:val="font31"/>
    <w:basedOn w:val="9"/>
    <w:qFormat/>
    <w:uiPriority w:val="0"/>
    <w:rPr>
      <w:rFonts w:ascii="Symbol" w:hAnsi="Symbol" w:cs="Symbo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1A7367-BD4A-4E2A-86A2-47B536F36DD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4610</Words>
  <Characters>6790</Characters>
  <Lines>7</Lines>
  <Paragraphs>5</Paragraphs>
  <TotalTime>5</TotalTime>
  <ScaleCrop>false</ScaleCrop>
  <LinksUpToDate>false</LinksUpToDate>
  <CharactersWithSpaces>7269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2011-09-04T06:20:00Z</dcterms:created>
  <dc:creator>猪猪猫.CN</dc:creator>
  <cp:lastModifiedBy>江顺</cp:lastModifiedBy>
  <cp:lastPrinted>2012-12-29T07:58:00Z</cp:lastPrinted>
  <dcterms:modified xsi:type="dcterms:W3CDTF">2023-12-06T03:17:40Z</dcterms:modified>
  <dc:title>飞托克技术标准的分类结构以及编写规则</dc:title>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5A25C48D380348A4A3C1C084BDA83F21</vt:lpwstr>
  </property>
</Properties>
</file>